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6" w:rsidRDefault="007623F6" w:rsidP="007623F6">
      <w:pPr>
        <w:jc w:val="center"/>
        <w:rPr>
          <w:b/>
          <w:sz w:val="28"/>
          <w:szCs w:val="28"/>
        </w:rPr>
      </w:pPr>
    </w:p>
    <w:p w:rsidR="007623F6" w:rsidRDefault="007623F6" w:rsidP="0076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К Л Ю Ч Е Н И Е</w:t>
      </w:r>
    </w:p>
    <w:p w:rsidR="00584E6B" w:rsidRDefault="00584E6B" w:rsidP="007623F6">
      <w:pPr>
        <w:jc w:val="center"/>
        <w:rPr>
          <w:b/>
          <w:sz w:val="28"/>
          <w:szCs w:val="28"/>
        </w:rPr>
      </w:pPr>
    </w:p>
    <w:p w:rsidR="007623F6" w:rsidRDefault="007623F6" w:rsidP="0076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районного бюджета Репьевского муниципального района Воронежской области на 20</w:t>
      </w:r>
      <w:r w:rsidR="00EE06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5F5F4F">
        <w:rPr>
          <w:b/>
          <w:sz w:val="28"/>
          <w:szCs w:val="28"/>
        </w:rPr>
        <w:t xml:space="preserve"> и плановый период 20</w:t>
      </w:r>
      <w:r w:rsidR="00EE066C">
        <w:rPr>
          <w:b/>
          <w:sz w:val="28"/>
          <w:szCs w:val="28"/>
        </w:rPr>
        <w:t>21</w:t>
      </w:r>
      <w:r w:rsidR="005F5F4F">
        <w:rPr>
          <w:b/>
          <w:sz w:val="28"/>
          <w:szCs w:val="28"/>
        </w:rPr>
        <w:t>-20</w:t>
      </w:r>
      <w:r w:rsidR="00B0707C">
        <w:rPr>
          <w:b/>
          <w:sz w:val="28"/>
          <w:szCs w:val="28"/>
        </w:rPr>
        <w:t>2</w:t>
      </w:r>
      <w:r w:rsidR="00EE066C">
        <w:rPr>
          <w:b/>
          <w:sz w:val="28"/>
          <w:szCs w:val="28"/>
        </w:rPr>
        <w:t>2</w:t>
      </w:r>
      <w:r w:rsidR="005F5F4F">
        <w:rPr>
          <w:b/>
          <w:sz w:val="28"/>
          <w:szCs w:val="28"/>
        </w:rPr>
        <w:t>гг.</w:t>
      </w:r>
    </w:p>
    <w:p w:rsidR="009153DE" w:rsidRDefault="009153DE" w:rsidP="007623F6">
      <w:pPr>
        <w:jc w:val="center"/>
        <w:rPr>
          <w:b/>
          <w:sz w:val="28"/>
          <w:szCs w:val="28"/>
        </w:rPr>
      </w:pPr>
    </w:p>
    <w:p w:rsidR="00E72AFD" w:rsidRDefault="00E72AFD" w:rsidP="00E72AF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Репьевка</w:t>
      </w:r>
      <w:proofErr w:type="gramEnd"/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854B61">
        <w:rPr>
          <w:b/>
          <w:sz w:val="28"/>
          <w:szCs w:val="28"/>
        </w:rPr>
        <w:t xml:space="preserve">                                                          </w:t>
      </w:r>
      <w:r w:rsidRPr="000A15D5">
        <w:rPr>
          <w:b/>
          <w:sz w:val="28"/>
          <w:szCs w:val="28"/>
        </w:rPr>
        <w:t>«</w:t>
      </w:r>
      <w:r w:rsidR="000A15D5" w:rsidRPr="000A15D5">
        <w:rPr>
          <w:b/>
          <w:sz w:val="28"/>
          <w:szCs w:val="28"/>
        </w:rPr>
        <w:t>6</w:t>
      </w:r>
      <w:r w:rsidRPr="000A15D5">
        <w:rPr>
          <w:b/>
          <w:sz w:val="28"/>
          <w:szCs w:val="28"/>
        </w:rPr>
        <w:t>» декабря 201</w:t>
      </w:r>
      <w:r w:rsidR="00EE066C">
        <w:rPr>
          <w:b/>
          <w:sz w:val="28"/>
          <w:szCs w:val="28"/>
        </w:rPr>
        <w:t>9</w:t>
      </w:r>
      <w:r w:rsidRPr="000A15D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0649E7" w:rsidRDefault="009153DE" w:rsidP="00915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53DE" w:rsidRDefault="009153DE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утверждение проекта  бюджета Репьевского муниципального района Воронежской области (далее по тексту проект  бюджета), проводилось в соответствии с БК РФ и Положением  «О бюджетном процессе в Репьевском муниципальном районе», утвержденным решением Совета народных депутатов района </w:t>
      </w:r>
      <w:r w:rsidRPr="00ED0B83">
        <w:rPr>
          <w:sz w:val="28"/>
          <w:szCs w:val="28"/>
        </w:rPr>
        <w:t>от 22.02.2008г. №237</w:t>
      </w:r>
      <w:r>
        <w:rPr>
          <w:sz w:val="28"/>
          <w:szCs w:val="28"/>
        </w:rPr>
        <w:t xml:space="preserve"> (в ред. от </w:t>
      </w:r>
      <w:r w:rsidR="0084609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84609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46094">
        <w:rPr>
          <w:sz w:val="28"/>
          <w:szCs w:val="28"/>
        </w:rPr>
        <w:t>13</w:t>
      </w:r>
      <w:r>
        <w:rPr>
          <w:sz w:val="28"/>
          <w:szCs w:val="28"/>
        </w:rPr>
        <w:t>г. №</w:t>
      </w:r>
      <w:r w:rsidR="00846094">
        <w:rPr>
          <w:sz w:val="28"/>
          <w:szCs w:val="28"/>
        </w:rPr>
        <w:t>96</w:t>
      </w:r>
      <w:r>
        <w:rPr>
          <w:sz w:val="28"/>
          <w:szCs w:val="28"/>
        </w:rPr>
        <w:t>).</w:t>
      </w:r>
      <w:r w:rsidR="008965ED">
        <w:rPr>
          <w:sz w:val="28"/>
          <w:szCs w:val="28"/>
        </w:rPr>
        <w:t xml:space="preserve"> С 2009 года в отношении бюджета Репьевского муниципального района</w:t>
      </w:r>
      <w:r w:rsidR="00253DEE">
        <w:rPr>
          <w:sz w:val="28"/>
          <w:szCs w:val="28"/>
        </w:rPr>
        <w:t xml:space="preserve"> применяются дополнительные меры</w:t>
      </w:r>
      <w:r w:rsidR="0094496E">
        <w:rPr>
          <w:sz w:val="28"/>
          <w:szCs w:val="28"/>
        </w:rPr>
        <w:t>,</w:t>
      </w:r>
      <w:r w:rsidR="00253DEE">
        <w:rPr>
          <w:sz w:val="28"/>
          <w:szCs w:val="28"/>
        </w:rPr>
        <w:t xml:space="preserve"> установленные п.4, ст.136 БК РФ, а также Постановлением администрации Воронежской области №154 от 27.02.2008г.</w:t>
      </w:r>
    </w:p>
    <w:p w:rsidR="00B10A16" w:rsidRDefault="00EE066C" w:rsidP="00B1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 бюджета на 2020</w:t>
      </w:r>
      <w:r w:rsidR="009153DE">
        <w:rPr>
          <w:sz w:val="28"/>
          <w:szCs w:val="28"/>
        </w:rPr>
        <w:t xml:space="preserve"> год утвержден </w:t>
      </w:r>
      <w:r w:rsidR="0094496E">
        <w:rPr>
          <w:sz w:val="28"/>
          <w:szCs w:val="28"/>
        </w:rPr>
        <w:t>п</w:t>
      </w:r>
      <w:r w:rsidR="009153DE">
        <w:rPr>
          <w:sz w:val="28"/>
          <w:szCs w:val="28"/>
        </w:rPr>
        <w:t xml:space="preserve">остановлением администрации Репьевского муниципального района от </w:t>
      </w:r>
      <w:r w:rsidR="00B0707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153DE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9153DE">
        <w:rPr>
          <w:sz w:val="28"/>
          <w:szCs w:val="28"/>
        </w:rPr>
        <w:t>г. №</w:t>
      </w:r>
      <w:r w:rsidR="00B0707C">
        <w:rPr>
          <w:sz w:val="28"/>
          <w:szCs w:val="28"/>
        </w:rPr>
        <w:t>35</w:t>
      </w:r>
      <w:r>
        <w:rPr>
          <w:sz w:val="28"/>
          <w:szCs w:val="28"/>
        </w:rPr>
        <w:t>7</w:t>
      </w:r>
      <w:r w:rsidR="009153DE">
        <w:rPr>
          <w:sz w:val="28"/>
          <w:szCs w:val="28"/>
        </w:rPr>
        <w:t xml:space="preserve"> «Об утверждении проекта бюджета Репьевск</w:t>
      </w:r>
      <w:r>
        <w:rPr>
          <w:sz w:val="28"/>
          <w:szCs w:val="28"/>
        </w:rPr>
        <w:t>ого муниципального района на 2020</w:t>
      </w:r>
      <w:r w:rsidR="009153DE">
        <w:rPr>
          <w:sz w:val="28"/>
          <w:szCs w:val="28"/>
        </w:rPr>
        <w:t>год</w:t>
      </w:r>
      <w:r w:rsidR="00E72AFD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21</w:t>
      </w:r>
      <w:r w:rsidR="00E72AFD">
        <w:rPr>
          <w:sz w:val="28"/>
          <w:szCs w:val="28"/>
        </w:rPr>
        <w:t xml:space="preserve"> и 20</w:t>
      </w:r>
      <w:r w:rsidR="00B0707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72AFD">
        <w:rPr>
          <w:sz w:val="28"/>
          <w:szCs w:val="28"/>
        </w:rPr>
        <w:t xml:space="preserve"> годов»</w:t>
      </w:r>
      <w:r w:rsidR="009153DE">
        <w:rPr>
          <w:sz w:val="28"/>
          <w:szCs w:val="28"/>
        </w:rPr>
        <w:t>. Составление проекта бюджета основывалось на  прогнозе социально-экономического развития Репьевского муниципального района, основных направлениях бюджетной и налоговой политики.</w:t>
      </w:r>
      <w:r w:rsidR="00031619">
        <w:rPr>
          <w:sz w:val="28"/>
          <w:szCs w:val="28"/>
        </w:rPr>
        <w:t xml:space="preserve"> </w:t>
      </w:r>
      <w:proofErr w:type="gramStart"/>
      <w:r w:rsidR="00B10A16">
        <w:rPr>
          <w:sz w:val="28"/>
          <w:szCs w:val="28"/>
        </w:rPr>
        <w:t>В соответствии со ст. 184.2 БК РФ в Постановлении «</w:t>
      </w:r>
      <w:r w:rsidR="0094496E">
        <w:rPr>
          <w:sz w:val="28"/>
          <w:szCs w:val="28"/>
        </w:rPr>
        <w:t>О</w:t>
      </w:r>
      <w:r w:rsidR="00B10A16">
        <w:rPr>
          <w:sz w:val="28"/>
          <w:szCs w:val="28"/>
        </w:rPr>
        <w:t>б утверждении проекта бюджета Репьевск</w:t>
      </w:r>
      <w:r>
        <w:rPr>
          <w:sz w:val="28"/>
          <w:szCs w:val="28"/>
        </w:rPr>
        <w:t>ого муниципального района на 2020</w:t>
      </w:r>
      <w:r w:rsidR="00B10A16">
        <w:rPr>
          <w:sz w:val="28"/>
          <w:szCs w:val="28"/>
        </w:rPr>
        <w:t xml:space="preserve"> год</w:t>
      </w:r>
      <w:r w:rsidR="00E72AFD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21</w:t>
      </w:r>
      <w:r w:rsidR="00E72AFD">
        <w:rPr>
          <w:sz w:val="28"/>
          <w:szCs w:val="28"/>
        </w:rPr>
        <w:t xml:space="preserve"> и 20</w:t>
      </w:r>
      <w:r w:rsidR="00B0707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72AFD">
        <w:rPr>
          <w:sz w:val="28"/>
          <w:szCs w:val="28"/>
        </w:rPr>
        <w:t xml:space="preserve"> годов</w:t>
      </w:r>
      <w:r w:rsidR="00B10A16">
        <w:rPr>
          <w:sz w:val="28"/>
          <w:szCs w:val="28"/>
        </w:rPr>
        <w:t xml:space="preserve">» утверждены: основные направления бюджетной и налоговой политики, прогноз социально-экономического развития, пояснительная записка к проекту бюджета, методики и расчеты распределения межбюджетных трансфертов, верхний предел муниципального долга, программа муниципальных </w:t>
      </w:r>
      <w:r w:rsidR="00B10A16" w:rsidRPr="00B5120B">
        <w:rPr>
          <w:sz w:val="28"/>
          <w:szCs w:val="28"/>
        </w:rPr>
        <w:t>внутренних заимствований</w:t>
      </w:r>
      <w:r w:rsidR="00B10A16">
        <w:rPr>
          <w:sz w:val="28"/>
          <w:szCs w:val="28"/>
        </w:rPr>
        <w:t xml:space="preserve">. </w:t>
      </w:r>
      <w:proofErr w:type="gramEnd"/>
    </w:p>
    <w:p w:rsidR="00632A83" w:rsidRDefault="00D9781D" w:rsidP="00D9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Бюджетной политикой Репьевского муниц</w:t>
      </w:r>
      <w:r w:rsidR="00632A83">
        <w:rPr>
          <w:sz w:val="28"/>
          <w:szCs w:val="28"/>
        </w:rPr>
        <w:t>ипального района на 2020 год и плановый период 2021 и 2022</w:t>
      </w:r>
      <w:r>
        <w:rPr>
          <w:sz w:val="28"/>
          <w:szCs w:val="28"/>
        </w:rPr>
        <w:t xml:space="preserve"> годы определены цели и задачи. Она </w:t>
      </w:r>
      <w:r w:rsidR="00B27168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обеспечение сбалансированности бюджета, увеличение доходной базы, вовлечение населения в решение приоритетных социальных проблем местного уровня, повышение открытости и прозрачности управления общественными финансами.</w:t>
      </w:r>
      <w:r w:rsidRPr="00D9781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632A83">
        <w:rPr>
          <w:sz w:val="28"/>
          <w:szCs w:val="28"/>
        </w:rPr>
        <w:t xml:space="preserve"> целью бюджетной политики в 2020-2022</w:t>
      </w:r>
      <w:r>
        <w:rPr>
          <w:sz w:val="28"/>
          <w:szCs w:val="28"/>
        </w:rPr>
        <w:t xml:space="preserve"> годах</w:t>
      </w:r>
      <w:r w:rsidR="007F720C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создание условий для устойчивого исполнения расходных полномочий органов местного самоуправления и повышения качества управления муниципальными финансами, а также достижение целей по обеспечению устойчивости бюджета и исполнения принятых обязательств наиболее эффективным способом через совершенствование нормативно-правового регулирования бюджетного процесса, развития налогового потенциала</w:t>
      </w:r>
      <w:r w:rsidR="00D02DF1">
        <w:rPr>
          <w:sz w:val="28"/>
          <w:szCs w:val="28"/>
        </w:rPr>
        <w:t>, эффективности муниципального управления, повышения качества муниципальных программ, повышение эффективности капитальных вложений, обеспечение прозрачности финансово-хозяйственной деятельности и т.д.</w:t>
      </w:r>
      <w:r w:rsidR="00D02DF1" w:rsidRPr="00D02DF1">
        <w:rPr>
          <w:sz w:val="28"/>
          <w:szCs w:val="28"/>
        </w:rPr>
        <w:t xml:space="preserve"> </w:t>
      </w:r>
      <w:r w:rsidR="00632A83">
        <w:rPr>
          <w:sz w:val="28"/>
          <w:szCs w:val="28"/>
        </w:rPr>
        <w:t>Бюджетная политика в период 2020-2022</w:t>
      </w:r>
      <w:r w:rsidR="00D02DF1">
        <w:rPr>
          <w:sz w:val="28"/>
          <w:szCs w:val="28"/>
        </w:rPr>
        <w:t xml:space="preserve"> годов будет реализовываться на основе бюджетных принципов. Основной з</w:t>
      </w:r>
      <w:r w:rsidR="00632A83">
        <w:rPr>
          <w:sz w:val="28"/>
          <w:szCs w:val="28"/>
        </w:rPr>
        <w:t>адачей налоговой политики в 2020 году и плановом периоде 2021-2022</w:t>
      </w:r>
      <w:r w:rsidR="00D02DF1">
        <w:rPr>
          <w:sz w:val="28"/>
          <w:szCs w:val="28"/>
        </w:rPr>
        <w:t xml:space="preserve">гг. является сохранение и дальнейшее расширение налогооблагаемой базы района. Для </w:t>
      </w:r>
      <w:r w:rsidR="00632A83">
        <w:rPr>
          <w:sz w:val="28"/>
          <w:szCs w:val="28"/>
        </w:rPr>
        <w:t xml:space="preserve">реализации мер по обеспечению сбалансированности и устойчивости бюджетной системы Репьевского муниципального района будет продолжена работа по мобилизации дополнительных доходов в бюджет муниципального </w:t>
      </w:r>
      <w:r w:rsidR="00632A83">
        <w:rPr>
          <w:sz w:val="28"/>
          <w:szCs w:val="28"/>
        </w:rPr>
        <w:lastRenderedPageBreak/>
        <w:t xml:space="preserve">района. Для этого планируется увеличить налоговый потенциал за счет привлечения инвестиций, обеспечение стабильного роста уровня собираемости налоговых и неналоговых доходов, обеспечение роста поступлений в бюджет за счет постановки на учет неучтенных объектов налогообложения, проведение полной инвентаризации земель, </w:t>
      </w:r>
      <w:r w:rsidR="007F720C">
        <w:rPr>
          <w:sz w:val="28"/>
          <w:szCs w:val="28"/>
        </w:rPr>
        <w:t xml:space="preserve">продолжение работы по повышению эффективности использования муниципального имущества, оптимизация налогообложения субъектов малого предпринимательства, жесткая и обоснованная политика налоговых льгот и т.д. Среди основных направлений налоговой </w:t>
      </w:r>
      <w:proofErr w:type="gramStart"/>
      <w:r w:rsidR="007F720C">
        <w:rPr>
          <w:sz w:val="28"/>
          <w:szCs w:val="28"/>
        </w:rPr>
        <w:t>политики на</w:t>
      </w:r>
      <w:proofErr w:type="gramEnd"/>
      <w:r w:rsidR="007F720C">
        <w:rPr>
          <w:sz w:val="28"/>
          <w:szCs w:val="28"/>
        </w:rPr>
        <w:t xml:space="preserve"> ближайшую перспективу, является обеспечение условий для стабильного поступления налогов в бюджет. Для этого планируется продолжить работу, направленную на увеличение объемов поступлений в </w:t>
      </w:r>
      <w:proofErr w:type="gramStart"/>
      <w:r w:rsidR="007F720C">
        <w:rPr>
          <w:sz w:val="28"/>
          <w:szCs w:val="28"/>
        </w:rPr>
        <w:t>областной</w:t>
      </w:r>
      <w:proofErr w:type="gramEnd"/>
      <w:r w:rsidR="007F720C">
        <w:rPr>
          <w:sz w:val="28"/>
          <w:szCs w:val="28"/>
        </w:rPr>
        <w:t xml:space="preserve"> и местные бюджеты.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9"/>
      </w:tblGrid>
      <w:tr w:rsidR="000D19CD" w:rsidRPr="00583EC8" w:rsidTr="008E047C">
        <w:trPr>
          <w:tblCellSpacing w:w="15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120E12" w:rsidRDefault="009153DE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06EE5">
              <w:rPr>
                <w:sz w:val="28"/>
                <w:szCs w:val="28"/>
              </w:rPr>
              <w:t xml:space="preserve">Прогноз социально-экономического развития Репьевского муниципального района Воронежской области на </w:t>
            </w:r>
            <w:r w:rsidR="00D37951" w:rsidRPr="00B06EE5">
              <w:rPr>
                <w:sz w:val="28"/>
                <w:szCs w:val="28"/>
              </w:rPr>
              <w:t>период до 20</w:t>
            </w:r>
            <w:r w:rsidR="00B0707C">
              <w:rPr>
                <w:sz w:val="28"/>
                <w:szCs w:val="28"/>
              </w:rPr>
              <w:t>2</w:t>
            </w:r>
            <w:r w:rsidR="007F720C">
              <w:rPr>
                <w:sz w:val="28"/>
                <w:szCs w:val="28"/>
              </w:rPr>
              <w:t>2</w:t>
            </w:r>
            <w:r w:rsidR="00D37951" w:rsidRPr="00B06EE5">
              <w:rPr>
                <w:sz w:val="28"/>
                <w:szCs w:val="28"/>
              </w:rPr>
              <w:t>г</w:t>
            </w:r>
            <w:r w:rsidRPr="00B06EE5">
              <w:rPr>
                <w:sz w:val="28"/>
                <w:szCs w:val="28"/>
              </w:rPr>
              <w:t>. подготовлен отделом по экономике, управлению муниципальным имуществом администрации Репьевского муниципального района.</w:t>
            </w:r>
            <w:r w:rsidR="00120E12">
              <w:rPr>
                <w:sz w:val="28"/>
                <w:szCs w:val="28"/>
              </w:rPr>
              <w:t xml:space="preserve"> </w:t>
            </w:r>
            <w:r w:rsidRPr="00B06EE5">
              <w:rPr>
                <w:sz w:val="28"/>
                <w:szCs w:val="28"/>
              </w:rPr>
              <w:t xml:space="preserve"> </w:t>
            </w:r>
            <w:r w:rsidR="00CF6F0D">
              <w:rPr>
                <w:sz w:val="28"/>
                <w:szCs w:val="28"/>
              </w:rPr>
              <w:t>На основании утвержденных показателей социально-экономического прогноза</w:t>
            </w:r>
            <w:r w:rsidR="007F720C">
              <w:rPr>
                <w:sz w:val="28"/>
                <w:szCs w:val="28"/>
              </w:rPr>
              <w:t xml:space="preserve"> трудовые ресурсы района в 2020 году составят 7618</w:t>
            </w:r>
            <w:r w:rsidR="004A328E">
              <w:rPr>
                <w:sz w:val="28"/>
                <w:szCs w:val="28"/>
              </w:rPr>
              <w:t xml:space="preserve"> человек. Наблюдается увеличение численности экономически активного населения. </w:t>
            </w:r>
            <w:proofErr w:type="gramStart"/>
            <w:r w:rsidR="004A328E">
              <w:rPr>
                <w:sz w:val="28"/>
                <w:szCs w:val="28"/>
              </w:rPr>
              <w:t>Численность занятых в экономике будет увеличиваться главным образом в связи с увеличением занятых в личных подсобн</w:t>
            </w:r>
            <w:r w:rsidR="007F720C">
              <w:rPr>
                <w:sz w:val="28"/>
                <w:szCs w:val="28"/>
              </w:rPr>
              <w:t>ых хозяйствах.</w:t>
            </w:r>
            <w:proofErr w:type="gramEnd"/>
            <w:r w:rsidR="007F720C">
              <w:rPr>
                <w:sz w:val="28"/>
                <w:szCs w:val="28"/>
              </w:rPr>
              <w:t xml:space="preserve"> Фонд оплаты труда наемных работников на территории района в 2020</w:t>
            </w:r>
            <w:r w:rsidR="004A328E">
              <w:rPr>
                <w:sz w:val="28"/>
                <w:szCs w:val="28"/>
              </w:rPr>
              <w:t xml:space="preserve"> году планируется по данным социально-экономи</w:t>
            </w:r>
            <w:r w:rsidR="007F720C">
              <w:rPr>
                <w:sz w:val="28"/>
                <w:szCs w:val="28"/>
              </w:rPr>
              <w:t>ческого прогноза на уровне 722,4</w:t>
            </w:r>
            <w:r w:rsidR="004A328E">
              <w:rPr>
                <w:sz w:val="28"/>
                <w:szCs w:val="28"/>
              </w:rPr>
              <w:t xml:space="preserve"> млн. рублей.</w:t>
            </w:r>
            <w:r w:rsidR="00120E12">
              <w:rPr>
                <w:sz w:val="28"/>
                <w:szCs w:val="28"/>
              </w:rPr>
              <w:t xml:space="preserve"> При формировании прогно</w:t>
            </w:r>
            <w:r w:rsidR="00CD74F0">
              <w:rPr>
                <w:sz w:val="28"/>
                <w:szCs w:val="28"/>
              </w:rPr>
              <w:t>за по фонду оплаты труда на 2020-2022</w:t>
            </w:r>
            <w:r w:rsidR="00120E12">
              <w:rPr>
                <w:sz w:val="28"/>
                <w:szCs w:val="28"/>
              </w:rPr>
              <w:t>гг. основными приоритетами являл</w:t>
            </w:r>
            <w:r w:rsidR="00031619">
              <w:rPr>
                <w:sz w:val="28"/>
                <w:szCs w:val="28"/>
              </w:rPr>
              <w:t>о</w:t>
            </w:r>
            <w:r w:rsidR="00120E12">
              <w:rPr>
                <w:sz w:val="28"/>
                <w:szCs w:val="28"/>
              </w:rPr>
              <w:t>сь: восстановление роли заработной платы как основного источника дохода трудоспособных граждан, призванного обеспечить платежеспособный спрос, стимулирование развития производства, рост уровня жизни населения и поступление средств на обеспечение нетрудоспособного населения. На основании данных социально-экономического прогноза налоговых дох</w:t>
            </w:r>
            <w:r w:rsidR="00CD74F0">
              <w:rPr>
                <w:sz w:val="28"/>
                <w:szCs w:val="28"/>
              </w:rPr>
              <w:t>одов планируется получить в 2020 году 167,4</w:t>
            </w:r>
            <w:r w:rsidR="00120E12">
              <w:rPr>
                <w:sz w:val="28"/>
                <w:szCs w:val="28"/>
              </w:rPr>
              <w:t xml:space="preserve"> млн. рублей в т.ч.:</w:t>
            </w:r>
          </w:p>
          <w:p w:rsidR="00120E12" w:rsidRDefault="00120E12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</w:t>
            </w:r>
            <w:r w:rsidR="00CD74F0">
              <w:rPr>
                <w:sz w:val="28"/>
                <w:szCs w:val="28"/>
              </w:rPr>
              <w:t>а доходы физических лиц – 88,9</w:t>
            </w:r>
            <w:r>
              <w:rPr>
                <w:sz w:val="28"/>
                <w:szCs w:val="28"/>
              </w:rPr>
              <w:t xml:space="preserve"> млн. рублей;</w:t>
            </w:r>
          </w:p>
          <w:p w:rsidR="00120E12" w:rsidRDefault="00120E12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</w:t>
            </w:r>
            <w:r w:rsidR="00CD74F0">
              <w:rPr>
                <w:sz w:val="28"/>
                <w:szCs w:val="28"/>
              </w:rPr>
              <w:t>логов на совокупный доход – 12,3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добавленную стоимость – 3,9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акцизы – 9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– 51,7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транспортный налог – 10,9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 – 23,9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налоги и сборы за пользование природными ресурсами - 0,4 млн. рублей;</w:t>
            </w:r>
          </w:p>
          <w:p w:rsidR="00CD74F0" w:rsidRDefault="00CD74F0" w:rsidP="00D00B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пошлина – 0,9 млн. рублей;</w:t>
            </w:r>
          </w:p>
          <w:p w:rsidR="003F596C" w:rsidRPr="00583EC8" w:rsidRDefault="00120E12" w:rsidP="007D020D">
            <w:pPr>
              <w:jc w:val="both"/>
              <w:outlineLvl w:val="0"/>
              <w:rPr>
                <w:rFonts w:ascii="Verdana" w:hAnsi="Verdana" w:cs="Tahoma"/>
                <w:color w:val="000000"/>
                <w:kern w:val="36"/>
                <w:sz w:val="27"/>
                <w:szCs w:val="27"/>
              </w:rPr>
            </w:pPr>
            <w:r>
              <w:rPr>
                <w:sz w:val="28"/>
                <w:szCs w:val="28"/>
              </w:rPr>
              <w:t>В 202</w:t>
            </w:r>
            <w:r w:rsidR="00CD74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налоговые д</w:t>
            </w:r>
            <w:r w:rsidR="00CD74F0">
              <w:rPr>
                <w:sz w:val="28"/>
                <w:szCs w:val="28"/>
              </w:rPr>
              <w:t>оходы рассчитаны на уровне 176,3</w:t>
            </w:r>
            <w:r>
              <w:rPr>
                <w:sz w:val="28"/>
                <w:szCs w:val="28"/>
              </w:rPr>
              <w:t xml:space="preserve"> млн. рублей</w:t>
            </w:r>
            <w:r w:rsidR="007D020D">
              <w:rPr>
                <w:sz w:val="28"/>
                <w:szCs w:val="28"/>
              </w:rPr>
              <w:t>, в 2022 году они составят 185</w:t>
            </w:r>
            <w:r w:rsidR="00AC3EC0">
              <w:rPr>
                <w:sz w:val="28"/>
                <w:szCs w:val="28"/>
              </w:rPr>
              <w:t xml:space="preserve"> млн. рублей.</w:t>
            </w:r>
            <w:r>
              <w:rPr>
                <w:sz w:val="28"/>
                <w:szCs w:val="28"/>
              </w:rPr>
              <w:t xml:space="preserve"> </w:t>
            </w:r>
            <w:r w:rsidR="00AC3EC0">
              <w:rPr>
                <w:sz w:val="28"/>
                <w:szCs w:val="28"/>
              </w:rPr>
              <w:t>Неналоговые</w:t>
            </w:r>
            <w:r w:rsidR="007D020D">
              <w:rPr>
                <w:sz w:val="28"/>
                <w:szCs w:val="28"/>
              </w:rPr>
              <w:t xml:space="preserve"> доходы по прогнозу составят 9,4</w:t>
            </w:r>
            <w:r w:rsidR="00AC3EC0">
              <w:rPr>
                <w:sz w:val="28"/>
                <w:szCs w:val="28"/>
              </w:rPr>
              <w:t xml:space="preserve"> млн. ру</w:t>
            </w:r>
            <w:r w:rsidR="007D020D">
              <w:rPr>
                <w:sz w:val="28"/>
                <w:szCs w:val="28"/>
              </w:rPr>
              <w:t>блей. В 2021</w:t>
            </w:r>
            <w:r w:rsidR="00AC3EC0">
              <w:rPr>
                <w:sz w:val="28"/>
                <w:szCs w:val="28"/>
              </w:rPr>
              <w:t xml:space="preserve"> году</w:t>
            </w:r>
            <w:r w:rsidR="007D020D">
              <w:rPr>
                <w:sz w:val="28"/>
                <w:szCs w:val="28"/>
              </w:rPr>
              <w:t xml:space="preserve"> неналоговые доходы составят 9,6 млн. рублей, в 2022 году – 9,7</w:t>
            </w:r>
            <w:r w:rsidR="00AC3EC0">
              <w:rPr>
                <w:sz w:val="28"/>
                <w:szCs w:val="28"/>
              </w:rPr>
              <w:t xml:space="preserve"> млн. рублей.</w:t>
            </w:r>
            <w:r w:rsidR="007D020D">
              <w:rPr>
                <w:sz w:val="28"/>
                <w:szCs w:val="28"/>
              </w:rPr>
              <w:t xml:space="preserve"> </w:t>
            </w:r>
            <w:r w:rsidR="00D66F31">
              <w:rPr>
                <w:sz w:val="28"/>
                <w:szCs w:val="28"/>
              </w:rPr>
              <w:t xml:space="preserve"> В целях увеличения доходов реализуются меры по расширению налогооблагаемой базы, повышение эффективности налогового администрирования. </w:t>
            </w:r>
            <w:r w:rsidR="00D66F31" w:rsidRPr="005F4CF9">
              <w:rPr>
                <w:sz w:val="28"/>
                <w:szCs w:val="28"/>
              </w:rPr>
              <w:t>Приоритетным</w:t>
            </w:r>
            <w:r w:rsidR="00D66F31">
              <w:rPr>
                <w:sz w:val="28"/>
                <w:szCs w:val="28"/>
              </w:rPr>
              <w:t xml:space="preserve"> направлением мероприятий является эффективное использование муниципальной собственности: сдача в аренду земельных участков и нежилых помещений муниципальной собственности, продажа земельных участков</w:t>
            </w:r>
            <w:r w:rsidR="007B1604">
              <w:rPr>
                <w:sz w:val="28"/>
                <w:szCs w:val="28"/>
              </w:rPr>
              <w:t xml:space="preserve"> и т.д. Одним из механизмов повышения эффективности использования средств бюджета</w:t>
            </w:r>
            <w:r w:rsidR="00C05BE9">
              <w:rPr>
                <w:sz w:val="28"/>
                <w:szCs w:val="28"/>
              </w:rPr>
              <w:t>,</w:t>
            </w:r>
            <w:r w:rsidR="007B1604">
              <w:rPr>
                <w:sz w:val="28"/>
                <w:szCs w:val="28"/>
              </w:rPr>
              <w:t xml:space="preserve"> является организация торгов в </w:t>
            </w:r>
            <w:r w:rsidR="007B1604">
              <w:rPr>
                <w:sz w:val="28"/>
                <w:szCs w:val="28"/>
              </w:rPr>
              <w:lastRenderedPageBreak/>
              <w:t xml:space="preserve">рамках муниципального заказа. Указанная процедура обеспечивает более рациональное и эффективное использование бюджетных средств. </w:t>
            </w:r>
            <w:r w:rsidR="00D66F31">
              <w:rPr>
                <w:sz w:val="28"/>
                <w:szCs w:val="28"/>
              </w:rPr>
              <w:t xml:space="preserve"> </w:t>
            </w:r>
            <w:r w:rsidR="004A328E">
              <w:rPr>
                <w:sz w:val="28"/>
                <w:szCs w:val="28"/>
              </w:rPr>
              <w:t xml:space="preserve"> </w:t>
            </w:r>
          </w:p>
        </w:tc>
      </w:tr>
    </w:tbl>
    <w:p w:rsidR="00185852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9504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Репьевского муниципального района №</w:t>
      </w:r>
      <w:r w:rsidR="00237555">
        <w:rPr>
          <w:sz w:val="28"/>
          <w:szCs w:val="28"/>
        </w:rPr>
        <w:t>35</w:t>
      </w:r>
      <w:r w:rsidR="00C05BE9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237555">
        <w:rPr>
          <w:sz w:val="28"/>
          <w:szCs w:val="28"/>
        </w:rPr>
        <w:t>1</w:t>
      </w:r>
      <w:r w:rsidR="00C05BE9">
        <w:rPr>
          <w:sz w:val="28"/>
          <w:szCs w:val="28"/>
        </w:rPr>
        <w:t>1</w:t>
      </w:r>
      <w:r>
        <w:rPr>
          <w:sz w:val="28"/>
          <w:szCs w:val="28"/>
        </w:rPr>
        <w:t>.11.201</w:t>
      </w:r>
      <w:r w:rsidR="00C05BE9">
        <w:rPr>
          <w:sz w:val="28"/>
          <w:szCs w:val="28"/>
        </w:rPr>
        <w:t>9</w:t>
      </w:r>
      <w:r>
        <w:rPr>
          <w:sz w:val="28"/>
          <w:szCs w:val="28"/>
        </w:rPr>
        <w:t>г. утверждены основные характеристики бюджета:</w:t>
      </w:r>
    </w:p>
    <w:p w:rsidR="00A14A07" w:rsidRDefault="00C05BE9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A14A07">
        <w:rPr>
          <w:sz w:val="28"/>
          <w:szCs w:val="28"/>
        </w:rPr>
        <w:t xml:space="preserve"> год</w:t>
      </w:r>
    </w:p>
    <w:p w:rsidR="00185852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в </w:t>
      </w:r>
      <w:r w:rsidRPr="005F4CF9">
        <w:rPr>
          <w:sz w:val="28"/>
          <w:szCs w:val="28"/>
        </w:rPr>
        <w:t xml:space="preserve">сумме  </w:t>
      </w:r>
      <w:r w:rsidR="005F4CF9">
        <w:rPr>
          <w:sz w:val="28"/>
          <w:szCs w:val="28"/>
        </w:rPr>
        <w:t>351944,1</w:t>
      </w:r>
      <w:r w:rsidRPr="005F4CF9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A14A07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расходов</w:t>
      </w:r>
      <w:r w:rsidR="002F73E6">
        <w:rPr>
          <w:sz w:val="28"/>
          <w:szCs w:val="28"/>
        </w:rPr>
        <w:t xml:space="preserve"> в сумме </w:t>
      </w:r>
      <w:r w:rsidR="005F4CF9">
        <w:rPr>
          <w:sz w:val="28"/>
          <w:szCs w:val="28"/>
        </w:rPr>
        <w:t>358442,4</w:t>
      </w:r>
      <w:r w:rsidR="002F73E6">
        <w:rPr>
          <w:sz w:val="28"/>
          <w:szCs w:val="28"/>
        </w:rPr>
        <w:t>тыс. рублей</w:t>
      </w:r>
      <w:r w:rsidR="00A14A07">
        <w:rPr>
          <w:sz w:val="28"/>
          <w:szCs w:val="28"/>
        </w:rPr>
        <w:t>;</w:t>
      </w:r>
    </w:p>
    <w:p w:rsidR="00155251" w:rsidRDefault="00A14A07" w:rsidP="00237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</w:t>
      </w:r>
      <w:r w:rsidR="00237555">
        <w:rPr>
          <w:sz w:val="28"/>
          <w:szCs w:val="28"/>
        </w:rPr>
        <w:t>дефицит</w:t>
      </w:r>
      <w:r w:rsidR="002F73E6">
        <w:rPr>
          <w:sz w:val="28"/>
          <w:szCs w:val="28"/>
        </w:rPr>
        <w:t xml:space="preserve"> составил </w:t>
      </w:r>
      <w:r w:rsidR="005F4CF9">
        <w:rPr>
          <w:sz w:val="28"/>
          <w:szCs w:val="28"/>
        </w:rPr>
        <w:t>6498,3</w:t>
      </w:r>
      <w:r w:rsidR="00923503">
        <w:rPr>
          <w:sz w:val="28"/>
          <w:szCs w:val="28"/>
        </w:rPr>
        <w:t>тыс. рублей</w:t>
      </w:r>
      <w:r w:rsidR="00237555">
        <w:rPr>
          <w:sz w:val="28"/>
          <w:szCs w:val="28"/>
        </w:rPr>
        <w:t xml:space="preserve"> или </w:t>
      </w:r>
      <w:r w:rsidR="00E95044">
        <w:rPr>
          <w:sz w:val="28"/>
          <w:szCs w:val="28"/>
        </w:rPr>
        <w:t>10</w:t>
      </w:r>
      <w:r w:rsidR="00237555">
        <w:rPr>
          <w:sz w:val="28"/>
          <w:szCs w:val="28"/>
        </w:rPr>
        <w:t>%годового объема доходов бюджета без учета утвержденного объема безвозмездных поступлений</w:t>
      </w:r>
      <w:r w:rsidR="008B65BA">
        <w:rPr>
          <w:sz w:val="28"/>
          <w:szCs w:val="28"/>
        </w:rPr>
        <w:t>.</w:t>
      </w:r>
    </w:p>
    <w:p w:rsidR="00A14A07" w:rsidRDefault="00A14A07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F4CF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E95044">
        <w:rPr>
          <w:sz w:val="28"/>
          <w:szCs w:val="28"/>
        </w:rPr>
        <w:t>: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 в сумме  </w:t>
      </w:r>
      <w:r w:rsidR="005F4CF9">
        <w:rPr>
          <w:sz w:val="28"/>
          <w:szCs w:val="28"/>
        </w:rPr>
        <w:t>260780,1</w:t>
      </w:r>
      <w:r>
        <w:rPr>
          <w:sz w:val="28"/>
          <w:szCs w:val="28"/>
        </w:rPr>
        <w:t>тыс. рублей;</w:t>
      </w:r>
    </w:p>
    <w:p w:rsidR="00A14A07" w:rsidRDefault="00A14A07" w:rsidP="00E950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расходов в сумме </w:t>
      </w:r>
      <w:r w:rsidR="005F4CF9">
        <w:rPr>
          <w:sz w:val="28"/>
          <w:szCs w:val="28"/>
        </w:rPr>
        <w:t>264191,1</w:t>
      </w:r>
      <w:r>
        <w:rPr>
          <w:sz w:val="28"/>
          <w:szCs w:val="28"/>
        </w:rPr>
        <w:t>тыс. рублей</w:t>
      </w:r>
      <w:r w:rsidR="001A3A74">
        <w:rPr>
          <w:sz w:val="28"/>
          <w:szCs w:val="28"/>
        </w:rPr>
        <w:t xml:space="preserve">, в том числе условно утвержденные расходы в сумме </w:t>
      </w:r>
      <w:r w:rsidR="005F4CF9">
        <w:rPr>
          <w:sz w:val="28"/>
          <w:szCs w:val="28"/>
        </w:rPr>
        <w:t>6605</w:t>
      </w:r>
      <w:r w:rsidR="001A3A74">
        <w:rPr>
          <w:sz w:val="28"/>
          <w:szCs w:val="28"/>
        </w:rPr>
        <w:t xml:space="preserve"> тыс. рублей или </w:t>
      </w:r>
      <w:r w:rsidR="00345AE4">
        <w:rPr>
          <w:sz w:val="28"/>
          <w:szCs w:val="28"/>
        </w:rPr>
        <w:t>6</w:t>
      </w:r>
      <w:r w:rsidR="001A3A74">
        <w:rPr>
          <w:sz w:val="28"/>
          <w:szCs w:val="28"/>
        </w:rPr>
        <w:t>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>
        <w:rPr>
          <w:sz w:val="28"/>
          <w:szCs w:val="28"/>
        </w:rPr>
        <w:t>;</w:t>
      </w:r>
    </w:p>
    <w:p w:rsidR="00A14A07" w:rsidRDefault="00A14A07" w:rsidP="007E0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</w:t>
      </w:r>
      <w:r w:rsidR="00237555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составил </w:t>
      </w:r>
      <w:r w:rsidR="00345AE4">
        <w:rPr>
          <w:sz w:val="28"/>
          <w:szCs w:val="28"/>
        </w:rPr>
        <w:t>3411</w:t>
      </w:r>
      <w:r>
        <w:rPr>
          <w:sz w:val="28"/>
          <w:szCs w:val="28"/>
        </w:rPr>
        <w:t>тыс. рублей</w:t>
      </w:r>
      <w:r w:rsidR="00237555">
        <w:rPr>
          <w:sz w:val="28"/>
          <w:szCs w:val="28"/>
        </w:rPr>
        <w:t xml:space="preserve"> или </w:t>
      </w:r>
      <w:r w:rsidR="00CB6C4E">
        <w:rPr>
          <w:sz w:val="28"/>
          <w:szCs w:val="28"/>
        </w:rPr>
        <w:t>5</w:t>
      </w:r>
      <w:r w:rsidR="00237555">
        <w:rPr>
          <w:sz w:val="28"/>
          <w:szCs w:val="28"/>
        </w:rPr>
        <w:t>%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E0F50">
        <w:rPr>
          <w:sz w:val="28"/>
          <w:szCs w:val="28"/>
        </w:rPr>
        <w:t>2</w:t>
      </w:r>
      <w:r w:rsidR="00345AE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 в сумме  </w:t>
      </w:r>
      <w:r w:rsidR="00345AE4">
        <w:rPr>
          <w:sz w:val="28"/>
          <w:szCs w:val="28"/>
        </w:rPr>
        <w:t>297247,7</w:t>
      </w:r>
      <w:r>
        <w:rPr>
          <w:sz w:val="28"/>
          <w:szCs w:val="28"/>
        </w:rPr>
        <w:t>тыс. рублей;</w:t>
      </w:r>
    </w:p>
    <w:p w:rsidR="00A14A07" w:rsidRDefault="00A14A07" w:rsidP="00CB6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расходов в сумме </w:t>
      </w:r>
      <w:r w:rsidR="00345AE4">
        <w:rPr>
          <w:sz w:val="28"/>
          <w:szCs w:val="28"/>
        </w:rPr>
        <w:t>300878,7</w:t>
      </w:r>
      <w:r>
        <w:rPr>
          <w:sz w:val="28"/>
          <w:szCs w:val="28"/>
        </w:rPr>
        <w:t>тыс. рублей</w:t>
      </w:r>
      <w:r w:rsidR="001A3A74">
        <w:rPr>
          <w:sz w:val="28"/>
          <w:szCs w:val="28"/>
        </w:rPr>
        <w:t xml:space="preserve">, в т.ч. условно утвержденные расходы в сумме </w:t>
      </w:r>
      <w:r w:rsidR="00345AE4">
        <w:rPr>
          <w:sz w:val="28"/>
          <w:szCs w:val="28"/>
        </w:rPr>
        <w:t>15044</w:t>
      </w:r>
      <w:r w:rsidR="001A3A74">
        <w:rPr>
          <w:sz w:val="28"/>
          <w:szCs w:val="28"/>
        </w:rPr>
        <w:t xml:space="preserve"> тыс. рублей </w:t>
      </w:r>
      <w:r w:rsidR="00345AE4">
        <w:rPr>
          <w:sz w:val="28"/>
          <w:szCs w:val="28"/>
        </w:rPr>
        <w:t>14</w:t>
      </w:r>
      <w:r w:rsidR="00CB6C4E">
        <w:rPr>
          <w:sz w:val="28"/>
          <w:szCs w:val="28"/>
        </w:rPr>
        <w:t xml:space="preserve">% </w:t>
      </w:r>
      <w:r w:rsidR="001A3A74">
        <w:rPr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>
        <w:rPr>
          <w:sz w:val="28"/>
          <w:szCs w:val="28"/>
        </w:rPr>
        <w:t>;</w:t>
      </w:r>
    </w:p>
    <w:p w:rsidR="00A14A07" w:rsidRDefault="00A14A07" w:rsidP="007E0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F50">
        <w:rPr>
          <w:sz w:val="28"/>
          <w:szCs w:val="28"/>
        </w:rPr>
        <w:t xml:space="preserve">прогнозируемый дефицит составит </w:t>
      </w:r>
      <w:r w:rsidR="00345AE4">
        <w:rPr>
          <w:sz w:val="28"/>
          <w:szCs w:val="28"/>
        </w:rPr>
        <w:t>3631</w:t>
      </w:r>
      <w:r w:rsidR="007E0F50">
        <w:rPr>
          <w:sz w:val="28"/>
          <w:szCs w:val="28"/>
        </w:rPr>
        <w:t xml:space="preserve"> тыс. рублей или 5%годового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</w:p>
    <w:p w:rsidR="00494F3D" w:rsidRDefault="002F73E6" w:rsidP="00155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№1 к проекту бюджета утверждены источники внутреннего финансирования дефицита бюджета</w:t>
      </w:r>
      <w:r w:rsidR="00127E72">
        <w:rPr>
          <w:sz w:val="28"/>
          <w:szCs w:val="28"/>
        </w:rPr>
        <w:t>, которые предусматривают</w:t>
      </w:r>
      <w:r w:rsidR="00CB6C4E">
        <w:rPr>
          <w:sz w:val="28"/>
          <w:szCs w:val="28"/>
        </w:rPr>
        <w:t xml:space="preserve"> погашение бюджетных кредитов</w:t>
      </w:r>
      <w:r w:rsidR="00127E72">
        <w:rPr>
          <w:sz w:val="28"/>
          <w:szCs w:val="28"/>
        </w:rPr>
        <w:t>, а также изменение остатков средств на счетах по учету средств бюджета</w:t>
      </w:r>
      <w:r>
        <w:rPr>
          <w:sz w:val="28"/>
          <w:szCs w:val="28"/>
        </w:rPr>
        <w:t>.</w:t>
      </w:r>
      <w:r w:rsidR="00CB6C4E">
        <w:rPr>
          <w:sz w:val="28"/>
          <w:szCs w:val="28"/>
        </w:rPr>
        <w:t xml:space="preserve"> </w:t>
      </w:r>
      <w:r w:rsidR="00596B07">
        <w:rPr>
          <w:sz w:val="28"/>
          <w:szCs w:val="28"/>
        </w:rPr>
        <w:t>Состав источников финансирования дефицита соответствует ст. 96 БК РФ.</w:t>
      </w:r>
    </w:p>
    <w:p w:rsidR="00D4043B" w:rsidRDefault="00494F3D" w:rsidP="00685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E13">
        <w:rPr>
          <w:sz w:val="28"/>
          <w:szCs w:val="28"/>
        </w:rPr>
        <w:t>Доходная</w:t>
      </w:r>
      <w:r w:rsidR="00EF3852">
        <w:rPr>
          <w:sz w:val="28"/>
          <w:szCs w:val="28"/>
        </w:rPr>
        <w:t xml:space="preserve"> база бюджета района на 2020</w:t>
      </w:r>
      <w:r>
        <w:rPr>
          <w:sz w:val="28"/>
          <w:szCs w:val="28"/>
        </w:rPr>
        <w:t xml:space="preserve"> год</w:t>
      </w:r>
      <w:r w:rsidR="001A3A74">
        <w:rPr>
          <w:sz w:val="28"/>
          <w:szCs w:val="28"/>
        </w:rPr>
        <w:t xml:space="preserve"> и плановый период 20</w:t>
      </w:r>
      <w:r w:rsidR="00EF3852">
        <w:rPr>
          <w:sz w:val="28"/>
          <w:szCs w:val="28"/>
        </w:rPr>
        <w:t>21</w:t>
      </w:r>
      <w:r w:rsidR="00D4043B">
        <w:rPr>
          <w:sz w:val="28"/>
          <w:szCs w:val="28"/>
        </w:rPr>
        <w:t>-20</w:t>
      </w:r>
      <w:r w:rsidR="001A3A74">
        <w:rPr>
          <w:sz w:val="28"/>
          <w:szCs w:val="28"/>
        </w:rPr>
        <w:t>2</w:t>
      </w:r>
      <w:r w:rsidR="00EF3852">
        <w:rPr>
          <w:sz w:val="28"/>
          <w:szCs w:val="28"/>
        </w:rPr>
        <w:t>2</w:t>
      </w:r>
      <w:r w:rsidR="00D4043B">
        <w:rPr>
          <w:sz w:val="28"/>
          <w:szCs w:val="28"/>
        </w:rPr>
        <w:t>гг.</w:t>
      </w:r>
      <w:r>
        <w:rPr>
          <w:sz w:val="28"/>
          <w:szCs w:val="28"/>
        </w:rPr>
        <w:t xml:space="preserve"> формировалась в соответствии с действующим бюджетным и налоговым законодательством.</w:t>
      </w:r>
      <w:r w:rsidR="008267F6">
        <w:rPr>
          <w:sz w:val="28"/>
          <w:szCs w:val="28"/>
        </w:rPr>
        <w:t xml:space="preserve"> Анализ доходной части представлен в виде диаграммы №5:</w:t>
      </w:r>
    </w:p>
    <w:p w:rsidR="00D4043B" w:rsidRDefault="008267F6" w:rsidP="00D4043B">
      <w:pPr>
        <w:pStyle w:val="a7"/>
        <w:keepNext/>
        <w:jc w:val="both"/>
      </w:pPr>
      <w:r w:rsidRPr="00100A06">
        <w:lastRenderedPageBreak/>
        <w:t>Диаграмма</w:t>
      </w:r>
      <w:r w:rsidR="004E16EB" w:rsidRPr="00100A06">
        <w:t>№</w:t>
      </w:r>
      <w:r w:rsidR="008F6FB9" w:rsidRPr="00100A06">
        <w:t>5</w:t>
      </w:r>
      <w:r w:rsidR="00D4043B" w:rsidRPr="00100A06">
        <w:rPr>
          <w:sz w:val="24"/>
          <w:szCs w:val="24"/>
        </w:rPr>
        <w:t>Анализ доходо</w:t>
      </w:r>
      <w:proofErr w:type="gramStart"/>
      <w:r w:rsidR="00D4043B" w:rsidRPr="00100A06">
        <w:rPr>
          <w:sz w:val="24"/>
          <w:szCs w:val="24"/>
        </w:rPr>
        <w:t>в</w:t>
      </w:r>
      <w:r w:rsidR="00416DEC" w:rsidRPr="00100A06">
        <w:rPr>
          <w:sz w:val="24"/>
          <w:szCs w:val="24"/>
        </w:rPr>
        <w:t>(</w:t>
      </w:r>
      <w:proofErr w:type="gramEnd"/>
      <w:r w:rsidR="00416DEC" w:rsidRPr="00100A06">
        <w:rPr>
          <w:sz w:val="24"/>
          <w:szCs w:val="24"/>
        </w:rPr>
        <w:t xml:space="preserve">млн. </w:t>
      </w:r>
      <w:proofErr w:type="spellStart"/>
      <w:r w:rsidR="00416DEC" w:rsidRPr="00100A06">
        <w:rPr>
          <w:sz w:val="24"/>
          <w:szCs w:val="24"/>
        </w:rPr>
        <w:t>руб</w:t>
      </w:r>
      <w:proofErr w:type="spellEnd"/>
      <w:r w:rsidR="00416DEC" w:rsidRPr="00100A06">
        <w:rPr>
          <w:sz w:val="24"/>
          <w:szCs w:val="24"/>
        </w:rPr>
        <w:t>)</w:t>
      </w:r>
    </w:p>
    <w:p w:rsidR="00D4043B" w:rsidRDefault="00D4043B" w:rsidP="006857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79FB" w:rsidRPr="00281A4D" w:rsidRDefault="008267F6" w:rsidP="00425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показателей мы видим, что собственные доходы имеют небольшую положительную динамику. Объемы безвозмездных поступлений в 20</w:t>
      </w:r>
      <w:r w:rsidR="00101153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416DEC">
        <w:rPr>
          <w:sz w:val="28"/>
          <w:szCs w:val="28"/>
        </w:rPr>
        <w:t xml:space="preserve"> сократятся на </w:t>
      </w:r>
      <w:r w:rsidR="00101153">
        <w:rPr>
          <w:sz w:val="28"/>
          <w:szCs w:val="28"/>
        </w:rPr>
        <w:t>95008</w:t>
      </w:r>
      <w:r w:rsidR="00416DEC">
        <w:rPr>
          <w:sz w:val="28"/>
          <w:szCs w:val="28"/>
        </w:rPr>
        <w:t xml:space="preserve"> тыс. рублей</w:t>
      </w:r>
      <w:r w:rsidR="00101153">
        <w:rPr>
          <w:sz w:val="28"/>
          <w:szCs w:val="28"/>
        </w:rPr>
        <w:t>,</w:t>
      </w:r>
      <w:r w:rsidR="00416DEC">
        <w:rPr>
          <w:sz w:val="28"/>
          <w:szCs w:val="28"/>
        </w:rPr>
        <w:t xml:space="preserve"> за счет</w:t>
      </w:r>
      <w:r w:rsidR="00835E66">
        <w:rPr>
          <w:sz w:val="28"/>
          <w:szCs w:val="28"/>
        </w:rPr>
        <w:t xml:space="preserve"> </w:t>
      </w:r>
      <w:r w:rsidR="00742B6A">
        <w:rPr>
          <w:sz w:val="28"/>
          <w:szCs w:val="28"/>
        </w:rPr>
        <w:t xml:space="preserve">планируемого значительного </w:t>
      </w:r>
      <w:r w:rsidR="00416DEC">
        <w:rPr>
          <w:sz w:val="28"/>
          <w:szCs w:val="28"/>
        </w:rPr>
        <w:t xml:space="preserve">сокращения поступлений межбюджетных трансфертов из областного бюджета на </w:t>
      </w:r>
      <w:r w:rsidR="00450166">
        <w:rPr>
          <w:sz w:val="28"/>
          <w:szCs w:val="28"/>
        </w:rPr>
        <w:t>82705,2</w:t>
      </w:r>
      <w:r w:rsidR="00416DEC">
        <w:rPr>
          <w:sz w:val="28"/>
          <w:szCs w:val="28"/>
        </w:rPr>
        <w:t xml:space="preserve"> тыс. рублей и </w:t>
      </w:r>
      <w:r w:rsidR="00742B6A">
        <w:rPr>
          <w:sz w:val="28"/>
          <w:szCs w:val="28"/>
        </w:rPr>
        <w:t xml:space="preserve">сокращения </w:t>
      </w:r>
      <w:r w:rsidR="00416DEC">
        <w:rPr>
          <w:sz w:val="28"/>
          <w:szCs w:val="28"/>
        </w:rPr>
        <w:t xml:space="preserve"> поступлений из бюджетов сельских поселений</w:t>
      </w:r>
      <w:r w:rsidR="00450166">
        <w:rPr>
          <w:sz w:val="28"/>
          <w:szCs w:val="28"/>
        </w:rPr>
        <w:t xml:space="preserve"> на 12302,8</w:t>
      </w:r>
      <w:r w:rsidR="00742B6A">
        <w:rPr>
          <w:sz w:val="28"/>
          <w:szCs w:val="28"/>
        </w:rPr>
        <w:t xml:space="preserve"> тыс. рублей</w:t>
      </w:r>
      <w:r w:rsidR="00416DEC">
        <w:rPr>
          <w:sz w:val="28"/>
          <w:szCs w:val="28"/>
        </w:rPr>
        <w:t>. В 202</w:t>
      </w:r>
      <w:r w:rsidR="00450166">
        <w:rPr>
          <w:sz w:val="28"/>
          <w:szCs w:val="28"/>
        </w:rPr>
        <w:t>2</w:t>
      </w:r>
      <w:r w:rsidR="00416DEC">
        <w:rPr>
          <w:sz w:val="28"/>
          <w:szCs w:val="28"/>
        </w:rPr>
        <w:t xml:space="preserve"> году</w:t>
      </w:r>
      <w:r w:rsidR="00425018">
        <w:rPr>
          <w:sz w:val="28"/>
          <w:szCs w:val="28"/>
        </w:rPr>
        <w:t xml:space="preserve"> по сравнению с 20</w:t>
      </w:r>
      <w:r w:rsidR="00450166">
        <w:rPr>
          <w:sz w:val="28"/>
          <w:szCs w:val="28"/>
        </w:rPr>
        <w:t>21</w:t>
      </w:r>
      <w:r w:rsidR="00425018">
        <w:rPr>
          <w:sz w:val="28"/>
          <w:szCs w:val="28"/>
        </w:rPr>
        <w:t xml:space="preserve"> годом</w:t>
      </w:r>
      <w:r w:rsidR="00416DEC">
        <w:rPr>
          <w:sz w:val="28"/>
          <w:szCs w:val="28"/>
        </w:rPr>
        <w:t xml:space="preserve"> прогнозируется увеличение поступлений </w:t>
      </w:r>
      <w:r w:rsidR="00425018">
        <w:rPr>
          <w:sz w:val="28"/>
          <w:szCs w:val="28"/>
        </w:rPr>
        <w:t xml:space="preserve">межбюджетных трансфертов </w:t>
      </w:r>
      <w:r w:rsidR="00416DEC">
        <w:rPr>
          <w:sz w:val="28"/>
          <w:szCs w:val="28"/>
        </w:rPr>
        <w:t xml:space="preserve">из областного бюджета на </w:t>
      </w:r>
      <w:r w:rsidR="00450166">
        <w:rPr>
          <w:sz w:val="28"/>
          <w:szCs w:val="28"/>
        </w:rPr>
        <w:t>32756,6</w:t>
      </w:r>
      <w:r w:rsidR="00416DEC">
        <w:rPr>
          <w:sz w:val="28"/>
          <w:szCs w:val="28"/>
        </w:rPr>
        <w:t xml:space="preserve"> тыс. рублей</w:t>
      </w:r>
      <w:r w:rsidR="00425018">
        <w:rPr>
          <w:sz w:val="28"/>
          <w:szCs w:val="28"/>
        </w:rPr>
        <w:t xml:space="preserve">, что в динамике дает </w:t>
      </w:r>
      <w:r w:rsidR="00450166">
        <w:rPr>
          <w:sz w:val="28"/>
          <w:szCs w:val="28"/>
        </w:rPr>
        <w:t>рост. Поступления</w:t>
      </w:r>
      <w:r w:rsidR="00425018">
        <w:rPr>
          <w:sz w:val="28"/>
          <w:szCs w:val="28"/>
        </w:rPr>
        <w:t xml:space="preserve"> межбюджетных трансфертов из бюджетов сельских поселений в 202</w:t>
      </w:r>
      <w:r w:rsidR="00450166">
        <w:rPr>
          <w:sz w:val="28"/>
          <w:szCs w:val="28"/>
        </w:rPr>
        <w:t>2</w:t>
      </w:r>
      <w:r w:rsidR="00425018">
        <w:rPr>
          <w:sz w:val="28"/>
          <w:szCs w:val="28"/>
        </w:rPr>
        <w:t xml:space="preserve"> году </w:t>
      </w:r>
      <w:r w:rsidR="00450166">
        <w:rPr>
          <w:sz w:val="28"/>
          <w:szCs w:val="28"/>
        </w:rPr>
        <w:t>планируется на уровне 60,6</w:t>
      </w:r>
      <w:r w:rsidR="00B5662F">
        <w:rPr>
          <w:sz w:val="28"/>
          <w:szCs w:val="28"/>
        </w:rPr>
        <w:t xml:space="preserve"> тыс. рублей</w:t>
      </w:r>
      <w:r w:rsidR="00425018">
        <w:rPr>
          <w:sz w:val="28"/>
          <w:szCs w:val="28"/>
        </w:rPr>
        <w:t xml:space="preserve">. </w:t>
      </w:r>
      <w:r w:rsidR="0003124F">
        <w:rPr>
          <w:sz w:val="28"/>
          <w:szCs w:val="28"/>
        </w:rPr>
        <w:t xml:space="preserve">В </w:t>
      </w:r>
      <w:r w:rsidR="00494F3D">
        <w:rPr>
          <w:sz w:val="28"/>
          <w:szCs w:val="28"/>
        </w:rPr>
        <w:t xml:space="preserve">структуре доходов на долю налоговых и неналоговых доходов приходится </w:t>
      </w:r>
      <w:r w:rsidR="009535A9">
        <w:rPr>
          <w:sz w:val="28"/>
          <w:szCs w:val="28"/>
        </w:rPr>
        <w:t>в 2020</w:t>
      </w:r>
      <w:r w:rsidR="00D4043B">
        <w:rPr>
          <w:sz w:val="28"/>
          <w:szCs w:val="28"/>
        </w:rPr>
        <w:t xml:space="preserve"> году </w:t>
      </w:r>
      <w:r w:rsidR="009535A9">
        <w:rPr>
          <w:sz w:val="28"/>
          <w:szCs w:val="28"/>
        </w:rPr>
        <w:t>18</w:t>
      </w:r>
      <w:r w:rsidR="00494F3D">
        <w:rPr>
          <w:sz w:val="28"/>
          <w:szCs w:val="28"/>
        </w:rPr>
        <w:t>%,</w:t>
      </w:r>
      <w:r w:rsidR="00612F80">
        <w:rPr>
          <w:sz w:val="28"/>
          <w:szCs w:val="28"/>
        </w:rPr>
        <w:t xml:space="preserve"> в 20</w:t>
      </w:r>
      <w:r w:rsidR="009535A9">
        <w:rPr>
          <w:sz w:val="28"/>
          <w:szCs w:val="28"/>
        </w:rPr>
        <w:t>21</w:t>
      </w:r>
      <w:r w:rsidR="00612F80">
        <w:rPr>
          <w:sz w:val="28"/>
          <w:szCs w:val="28"/>
        </w:rPr>
        <w:t xml:space="preserve"> году </w:t>
      </w:r>
      <w:r w:rsidR="009535A9">
        <w:rPr>
          <w:sz w:val="28"/>
          <w:szCs w:val="28"/>
        </w:rPr>
        <w:t>26</w:t>
      </w:r>
      <w:r w:rsidR="00612F80">
        <w:rPr>
          <w:sz w:val="28"/>
          <w:szCs w:val="28"/>
        </w:rPr>
        <w:t>%, в 20</w:t>
      </w:r>
      <w:r w:rsidR="00425018">
        <w:rPr>
          <w:sz w:val="28"/>
          <w:szCs w:val="28"/>
        </w:rPr>
        <w:t>2</w:t>
      </w:r>
      <w:r w:rsidR="009535A9">
        <w:rPr>
          <w:sz w:val="28"/>
          <w:szCs w:val="28"/>
        </w:rPr>
        <w:t>2</w:t>
      </w:r>
      <w:r w:rsidR="00612F80">
        <w:rPr>
          <w:sz w:val="28"/>
          <w:szCs w:val="28"/>
        </w:rPr>
        <w:t xml:space="preserve"> году </w:t>
      </w:r>
      <w:r w:rsidR="009535A9">
        <w:rPr>
          <w:sz w:val="28"/>
          <w:szCs w:val="28"/>
        </w:rPr>
        <w:t>24</w:t>
      </w:r>
      <w:r w:rsidR="00612F80">
        <w:rPr>
          <w:sz w:val="28"/>
          <w:szCs w:val="28"/>
        </w:rPr>
        <w:t>%</w:t>
      </w:r>
      <w:r w:rsidR="00494F3D">
        <w:rPr>
          <w:sz w:val="28"/>
          <w:szCs w:val="28"/>
        </w:rPr>
        <w:t xml:space="preserve"> удельный вес безвозмездных поступлений из бюджетов других уровней составит </w:t>
      </w:r>
      <w:r w:rsidR="00612F80">
        <w:rPr>
          <w:sz w:val="28"/>
          <w:szCs w:val="28"/>
        </w:rPr>
        <w:t xml:space="preserve">соответственно </w:t>
      </w:r>
      <w:r w:rsidR="009535A9">
        <w:rPr>
          <w:sz w:val="28"/>
          <w:szCs w:val="28"/>
        </w:rPr>
        <w:t>82</w:t>
      </w:r>
      <w:r w:rsidR="00B94328">
        <w:rPr>
          <w:sz w:val="28"/>
          <w:szCs w:val="28"/>
        </w:rPr>
        <w:t>%</w:t>
      </w:r>
      <w:r w:rsidR="00612F80">
        <w:rPr>
          <w:sz w:val="28"/>
          <w:szCs w:val="28"/>
        </w:rPr>
        <w:t xml:space="preserve">, </w:t>
      </w:r>
      <w:r w:rsidR="009535A9">
        <w:rPr>
          <w:sz w:val="28"/>
          <w:szCs w:val="28"/>
        </w:rPr>
        <w:t>74</w:t>
      </w:r>
      <w:r w:rsidR="00612F80">
        <w:rPr>
          <w:sz w:val="28"/>
          <w:szCs w:val="28"/>
        </w:rPr>
        <w:t xml:space="preserve">%, </w:t>
      </w:r>
      <w:r w:rsidR="009535A9">
        <w:rPr>
          <w:sz w:val="28"/>
          <w:szCs w:val="28"/>
        </w:rPr>
        <w:t>76</w:t>
      </w:r>
      <w:r w:rsidR="00612F80" w:rsidRPr="00AC0388">
        <w:rPr>
          <w:sz w:val="28"/>
          <w:szCs w:val="28"/>
        </w:rPr>
        <w:t>%</w:t>
      </w:r>
      <w:r w:rsidR="00494F3D" w:rsidRPr="00AC0388">
        <w:rPr>
          <w:sz w:val="28"/>
          <w:szCs w:val="28"/>
        </w:rPr>
        <w:t>.</w:t>
      </w:r>
      <w:r w:rsidR="0068571B" w:rsidRPr="00AC0388">
        <w:rPr>
          <w:sz w:val="28"/>
          <w:szCs w:val="28"/>
        </w:rPr>
        <w:t xml:space="preserve"> Общий объем собственных доходо</w:t>
      </w:r>
      <w:r w:rsidR="00AC0388" w:rsidRPr="00AC0388">
        <w:rPr>
          <w:sz w:val="28"/>
          <w:szCs w:val="28"/>
        </w:rPr>
        <w:t>в на 2020</w:t>
      </w:r>
      <w:r w:rsidR="0068571B" w:rsidRPr="00AC0388">
        <w:rPr>
          <w:sz w:val="28"/>
          <w:szCs w:val="28"/>
        </w:rPr>
        <w:t xml:space="preserve"> год прогнозируется с ростом к уровню прошлого года 1</w:t>
      </w:r>
      <w:r w:rsidR="00612F80" w:rsidRPr="00AC0388">
        <w:rPr>
          <w:sz w:val="28"/>
          <w:szCs w:val="28"/>
        </w:rPr>
        <w:t>0</w:t>
      </w:r>
      <w:r w:rsidR="00454BD7" w:rsidRPr="00AC0388">
        <w:rPr>
          <w:sz w:val="28"/>
          <w:szCs w:val="28"/>
        </w:rPr>
        <w:t>9</w:t>
      </w:r>
      <w:r w:rsidR="0068571B" w:rsidRPr="00AC0388">
        <w:rPr>
          <w:sz w:val="28"/>
          <w:szCs w:val="28"/>
        </w:rPr>
        <w:t>%</w:t>
      </w:r>
      <w:r w:rsidR="00494F3D" w:rsidRPr="00AC0388">
        <w:rPr>
          <w:sz w:val="28"/>
          <w:szCs w:val="28"/>
        </w:rPr>
        <w:t>.</w:t>
      </w:r>
      <w:r w:rsidR="008579FB" w:rsidRPr="00281A4D">
        <w:rPr>
          <w:sz w:val="28"/>
          <w:szCs w:val="28"/>
        </w:rPr>
        <w:t xml:space="preserve"> </w:t>
      </w:r>
    </w:p>
    <w:p w:rsidR="008579FB" w:rsidRDefault="008579FB" w:rsidP="0068571B">
      <w:pPr>
        <w:jc w:val="both"/>
        <w:rPr>
          <w:sz w:val="28"/>
          <w:szCs w:val="28"/>
        </w:rPr>
      </w:pPr>
    </w:p>
    <w:p w:rsidR="008579FB" w:rsidRDefault="00AB36D3" w:rsidP="008579FB">
      <w:pPr>
        <w:pStyle w:val="a7"/>
        <w:keepNext/>
        <w:jc w:val="both"/>
      </w:pPr>
      <w:r>
        <w:lastRenderedPageBreak/>
        <w:t>Диаграмма</w:t>
      </w:r>
      <w:r w:rsidR="008E3D56">
        <w:t>№</w:t>
      </w:r>
      <w:r w:rsidR="008F6FB9">
        <w:t xml:space="preserve">6 </w:t>
      </w:r>
      <w:r w:rsidR="008579FB" w:rsidRPr="004E16EB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 xml:space="preserve">собственных </w:t>
      </w:r>
      <w:r w:rsidR="008579FB" w:rsidRPr="004E16EB">
        <w:rPr>
          <w:sz w:val="24"/>
          <w:szCs w:val="24"/>
        </w:rPr>
        <w:t>доходов</w:t>
      </w:r>
    </w:p>
    <w:p w:rsidR="008579FB" w:rsidRDefault="008579FB" w:rsidP="006857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2005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1A4D" w:rsidRDefault="008F6FB9" w:rsidP="00AC1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B36D3">
        <w:rPr>
          <w:sz w:val="28"/>
          <w:szCs w:val="28"/>
        </w:rPr>
        <w:t>диаграммы</w:t>
      </w:r>
      <w:r>
        <w:rPr>
          <w:sz w:val="28"/>
          <w:szCs w:val="28"/>
        </w:rPr>
        <w:t xml:space="preserve"> №6</w:t>
      </w:r>
      <w:r w:rsidR="00AC1F22">
        <w:rPr>
          <w:sz w:val="28"/>
          <w:szCs w:val="28"/>
        </w:rPr>
        <w:t xml:space="preserve"> «Структура собственных доходов» видно, что планирование доходной части проводилось с устойчивым ростом.</w:t>
      </w:r>
      <w:r w:rsidR="002A5A45">
        <w:rPr>
          <w:sz w:val="28"/>
          <w:szCs w:val="28"/>
        </w:rPr>
        <w:t xml:space="preserve"> </w:t>
      </w:r>
      <w:r w:rsidR="00AB36D3">
        <w:rPr>
          <w:sz w:val="28"/>
          <w:szCs w:val="28"/>
        </w:rPr>
        <w:t>Налоговые доходы в стру</w:t>
      </w:r>
      <w:r w:rsidR="00AD06B1">
        <w:rPr>
          <w:sz w:val="28"/>
          <w:szCs w:val="28"/>
        </w:rPr>
        <w:t>ктуре собственных доходов за 2020</w:t>
      </w:r>
      <w:r w:rsidR="00AB36D3">
        <w:rPr>
          <w:sz w:val="28"/>
          <w:szCs w:val="28"/>
        </w:rPr>
        <w:t xml:space="preserve"> </w:t>
      </w:r>
      <w:r w:rsidR="00AB36D3" w:rsidRPr="002A5A45">
        <w:rPr>
          <w:sz w:val="28"/>
          <w:szCs w:val="28"/>
        </w:rPr>
        <w:t>год</w:t>
      </w:r>
      <w:r w:rsidR="00AB36D3">
        <w:rPr>
          <w:sz w:val="28"/>
          <w:szCs w:val="28"/>
        </w:rPr>
        <w:t xml:space="preserve"> составляют 8</w:t>
      </w:r>
      <w:r w:rsidR="002A5A45">
        <w:rPr>
          <w:sz w:val="28"/>
          <w:szCs w:val="28"/>
        </w:rPr>
        <w:t>6</w:t>
      </w:r>
      <w:r w:rsidR="00AB36D3">
        <w:rPr>
          <w:sz w:val="28"/>
          <w:szCs w:val="28"/>
        </w:rPr>
        <w:t>% (</w:t>
      </w:r>
      <w:r w:rsidR="00AD06B1">
        <w:rPr>
          <w:sz w:val="28"/>
          <w:szCs w:val="28"/>
        </w:rPr>
        <w:t>55720</w:t>
      </w:r>
      <w:r w:rsidR="00AB36D3">
        <w:rPr>
          <w:sz w:val="28"/>
          <w:szCs w:val="28"/>
        </w:rPr>
        <w:t xml:space="preserve"> тыс. рублей</w:t>
      </w:r>
      <w:r w:rsidR="00AD06B1">
        <w:rPr>
          <w:sz w:val="28"/>
          <w:szCs w:val="28"/>
        </w:rPr>
        <w:t>). Неналоговые доходы составят 14</w:t>
      </w:r>
      <w:r w:rsidR="00AB36D3">
        <w:rPr>
          <w:sz w:val="28"/>
          <w:szCs w:val="28"/>
        </w:rPr>
        <w:t>% (</w:t>
      </w:r>
      <w:r w:rsidR="00AD06B1">
        <w:rPr>
          <w:sz w:val="28"/>
          <w:szCs w:val="28"/>
        </w:rPr>
        <w:t>8675</w:t>
      </w:r>
      <w:r w:rsidR="00AB36D3">
        <w:rPr>
          <w:sz w:val="28"/>
          <w:szCs w:val="28"/>
        </w:rPr>
        <w:t xml:space="preserve"> тыс. рублей).</w:t>
      </w:r>
      <w:r w:rsidR="00031619">
        <w:rPr>
          <w:sz w:val="28"/>
          <w:szCs w:val="28"/>
        </w:rPr>
        <w:t xml:space="preserve"> </w:t>
      </w:r>
      <w:r w:rsidR="00AB36D3">
        <w:rPr>
          <w:sz w:val="28"/>
          <w:szCs w:val="28"/>
        </w:rPr>
        <w:t>Прогнозируемые поступления в 20</w:t>
      </w:r>
      <w:r w:rsidR="00AD06B1">
        <w:rPr>
          <w:sz w:val="28"/>
          <w:szCs w:val="28"/>
        </w:rPr>
        <w:t>21</w:t>
      </w:r>
      <w:r w:rsidR="00AB36D3">
        <w:rPr>
          <w:sz w:val="28"/>
          <w:szCs w:val="28"/>
        </w:rPr>
        <w:t xml:space="preserve"> году налоговых доходов составит </w:t>
      </w:r>
      <w:r w:rsidR="00AD06B1">
        <w:rPr>
          <w:sz w:val="28"/>
          <w:szCs w:val="28"/>
        </w:rPr>
        <w:t>59411 тыс. рублей (87</w:t>
      </w:r>
      <w:r w:rsidR="00AB36D3">
        <w:rPr>
          <w:sz w:val="28"/>
          <w:szCs w:val="28"/>
        </w:rPr>
        <w:t xml:space="preserve">% в структуре собственных доходов), неналоговые </w:t>
      </w:r>
      <w:r w:rsidR="00AD06B1">
        <w:rPr>
          <w:sz w:val="28"/>
          <w:szCs w:val="28"/>
        </w:rPr>
        <w:t>8828</w:t>
      </w:r>
      <w:r w:rsidR="00AB36D3">
        <w:rPr>
          <w:sz w:val="28"/>
          <w:szCs w:val="28"/>
        </w:rPr>
        <w:t xml:space="preserve"> тыс. рублей (1</w:t>
      </w:r>
      <w:r w:rsidR="00AD06B1">
        <w:rPr>
          <w:sz w:val="28"/>
          <w:szCs w:val="28"/>
        </w:rPr>
        <w:t>3</w:t>
      </w:r>
      <w:r w:rsidR="00AB36D3">
        <w:rPr>
          <w:sz w:val="28"/>
          <w:szCs w:val="28"/>
        </w:rPr>
        <w:t>% в структуре собственных доходов). В 202</w:t>
      </w:r>
      <w:r w:rsidR="00AD06B1">
        <w:rPr>
          <w:sz w:val="28"/>
          <w:szCs w:val="28"/>
        </w:rPr>
        <w:t>2</w:t>
      </w:r>
      <w:r w:rsidR="00AB36D3">
        <w:rPr>
          <w:sz w:val="28"/>
          <w:szCs w:val="28"/>
        </w:rPr>
        <w:t xml:space="preserve"> году налоговые поступления планируются в сумме </w:t>
      </w:r>
      <w:r w:rsidR="00AD06B1">
        <w:rPr>
          <w:sz w:val="28"/>
          <w:szCs w:val="28"/>
        </w:rPr>
        <w:t>63666</w:t>
      </w:r>
      <w:r w:rsidR="00AB36D3">
        <w:rPr>
          <w:sz w:val="28"/>
          <w:szCs w:val="28"/>
        </w:rPr>
        <w:t xml:space="preserve"> тыс. рублей (8</w:t>
      </w:r>
      <w:r w:rsidR="00AD06B1">
        <w:rPr>
          <w:sz w:val="28"/>
          <w:szCs w:val="28"/>
        </w:rPr>
        <w:t>8</w:t>
      </w:r>
      <w:r w:rsidR="00AB36D3">
        <w:rPr>
          <w:sz w:val="28"/>
          <w:szCs w:val="28"/>
        </w:rPr>
        <w:t xml:space="preserve">% в структуре собственных доходов), неналоговые поступления в сумме </w:t>
      </w:r>
      <w:r w:rsidR="00AD06B1">
        <w:rPr>
          <w:sz w:val="28"/>
          <w:szCs w:val="28"/>
        </w:rPr>
        <w:t>8968</w:t>
      </w:r>
      <w:r w:rsidR="00AB36D3">
        <w:rPr>
          <w:sz w:val="28"/>
          <w:szCs w:val="28"/>
        </w:rPr>
        <w:t xml:space="preserve"> тыс. рублей (1</w:t>
      </w:r>
      <w:r w:rsidR="00AD06B1">
        <w:rPr>
          <w:sz w:val="28"/>
          <w:szCs w:val="28"/>
        </w:rPr>
        <w:t>2</w:t>
      </w:r>
      <w:r w:rsidR="00AB36D3">
        <w:rPr>
          <w:sz w:val="28"/>
          <w:szCs w:val="28"/>
        </w:rPr>
        <w:t xml:space="preserve">% в структуре собственных доходов). </w:t>
      </w:r>
    </w:p>
    <w:p w:rsidR="004B3A39" w:rsidRDefault="00BC2E85" w:rsidP="0068571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4F3D" w:rsidRPr="00FB6D5B">
        <w:rPr>
          <w:sz w:val="28"/>
          <w:szCs w:val="28"/>
        </w:rPr>
        <w:t>обственны</w:t>
      </w:r>
      <w:r>
        <w:rPr>
          <w:sz w:val="28"/>
          <w:szCs w:val="28"/>
        </w:rPr>
        <w:t>е</w:t>
      </w:r>
      <w:r w:rsidR="00494F3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CF62D4">
        <w:rPr>
          <w:sz w:val="28"/>
          <w:szCs w:val="28"/>
        </w:rPr>
        <w:t xml:space="preserve"> </w:t>
      </w:r>
      <w:r w:rsidR="004B66F1">
        <w:rPr>
          <w:sz w:val="28"/>
          <w:szCs w:val="28"/>
        </w:rPr>
        <w:t>представлены в табл</w:t>
      </w:r>
      <w:r>
        <w:rPr>
          <w:sz w:val="28"/>
          <w:szCs w:val="28"/>
        </w:rPr>
        <w:t>ице:</w:t>
      </w:r>
    </w:p>
    <w:p w:rsidR="004B66F1" w:rsidRDefault="004B66F1" w:rsidP="00C04B49">
      <w:pPr>
        <w:jc w:val="right"/>
        <w:rPr>
          <w:sz w:val="28"/>
          <w:szCs w:val="28"/>
        </w:rPr>
      </w:pPr>
    </w:p>
    <w:p w:rsidR="00C04B49" w:rsidRDefault="00C04B49" w:rsidP="00C04B49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8"/>
        <w:tblW w:w="0" w:type="auto"/>
        <w:tblLook w:val="04A0"/>
      </w:tblPr>
      <w:tblGrid>
        <w:gridCol w:w="2246"/>
        <w:gridCol w:w="1119"/>
        <w:gridCol w:w="1194"/>
        <w:gridCol w:w="1379"/>
        <w:gridCol w:w="1399"/>
        <w:gridCol w:w="1227"/>
        <w:gridCol w:w="1291"/>
      </w:tblGrid>
      <w:tr w:rsidR="00C04B49" w:rsidTr="008E3D56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AD06B1" w:rsidP="002A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4B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2A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06B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B49" w:rsidRDefault="00C04B49" w:rsidP="002A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6D5B">
              <w:rPr>
                <w:sz w:val="28"/>
                <w:szCs w:val="28"/>
              </w:rPr>
              <w:t>2</w:t>
            </w:r>
            <w:r w:rsidR="00AD06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04B49" w:rsidTr="008E3D56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%, от общей суммы собств. доходов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суммы собств. доходов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суммы собств. доходов</w:t>
            </w:r>
          </w:p>
        </w:tc>
      </w:tr>
      <w:tr w:rsidR="00C04B49" w:rsidTr="008E3D56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41242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:rsidR="00C04B49" w:rsidRDefault="00B822C8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41F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C04B49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47540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</w:t>
            </w:r>
          </w:p>
        </w:tc>
        <w:tc>
          <w:tcPr>
            <w:tcW w:w="1134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9420</w:t>
            </w:r>
          </w:p>
        </w:tc>
        <w:tc>
          <w:tcPr>
            <w:tcW w:w="1194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9933</w:t>
            </w:r>
          </w:p>
        </w:tc>
        <w:tc>
          <w:tcPr>
            <w:tcW w:w="1418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1" w:type="dxa"/>
            <w:vAlign w:val="center"/>
          </w:tcPr>
          <w:p w:rsidR="00C04B49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10768</w:t>
            </w:r>
          </w:p>
        </w:tc>
        <w:tc>
          <w:tcPr>
            <w:tcW w:w="1300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4348</w:t>
            </w:r>
          </w:p>
        </w:tc>
        <w:tc>
          <w:tcPr>
            <w:tcW w:w="1194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</w:t>
            </w:r>
          </w:p>
        </w:tc>
        <w:tc>
          <w:tcPr>
            <w:tcW w:w="1418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vAlign w:val="center"/>
          </w:tcPr>
          <w:p w:rsidR="00C04B49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4605</w:t>
            </w:r>
          </w:p>
        </w:tc>
        <w:tc>
          <w:tcPr>
            <w:tcW w:w="1300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2D4" w:rsidTr="008E3D56">
        <w:tc>
          <w:tcPr>
            <w:tcW w:w="2093" w:type="dxa"/>
            <w:vAlign w:val="center"/>
          </w:tcPr>
          <w:p w:rsidR="00CF62D4" w:rsidRDefault="00CF62D4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lastRenderedPageBreak/>
              <w:t>пошлина</w:t>
            </w:r>
          </w:p>
        </w:tc>
        <w:tc>
          <w:tcPr>
            <w:tcW w:w="1134" w:type="dxa"/>
            <w:vAlign w:val="center"/>
          </w:tcPr>
          <w:p w:rsidR="00CF62D4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1194" w:type="dxa"/>
            <w:vAlign w:val="center"/>
          </w:tcPr>
          <w:p w:rsidR="00CF62D4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F62D4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1418" w:type="dxa"/>
            <w:vAlign w:val="center"/>
          </w:tcPr>
          <w:p w:rsidR="00CF62D4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CF62D4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1300" w:type="dxa"/>
            <w:vAlign w:val="center"/>
          </w:tcPr>
          <w:p w:rsidR="00CF62D4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использования имущества</w:t>
            </w:r>
          </w:p>
        </w:tc>
        <w:tc>
          <w:tcPr>
            <w:tcW w:w="1134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</w:t>
            </w:r>
          </w:p>
        </w:tc>
        <w:tc>
          <w:tcPr>
            <w:tcW w:w="1194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</w:t>
            </w:r>
          </w:p>
        </w:tc>
        <w:tc>
          <w:tcPr>
            <w:tcW w:w="1418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vAlign w:val="center"/>
          </w:tcPr>
          <w:p w:rsidR="00C04B49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</w:t>
            </w:r>
          </w:p>
        </w:tc>
        <w:tc>
          <w:tcPr>
            <w:tcW w:w="1300" w:type="dxa"/>
            <w:vAlign w:val="center"/>
          </w:tcPr>
          <w:p w:rsidR="00C04B49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642C" w:rsidTr="00CF62D4">
        <w:tc>
          <w:tcPr>
            <w:tcW w:w="2093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4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17" w:type="dxa"/>
            <w:vAlign w:val="center"/>
          </w:tcPr>
          <w:p w:rsidR="0013642C" w:rsidRDefault="00FE41FF" w:rsidP="00CF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251" w:type="dxa"/>
            <w:vAlign w:val="center"/>
          </w:tcPr>
          <w:p w:rsidR="0013642C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00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13642C" w:rsidTr="008E3D56">
        <w:tc>
          <w:tcPr>
            <w:tcW w:w="2093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активов</w:t>
            </w:r>
          </w:p>
        </w:tc>
        <w:tc>
          <w:tcPr>
            <w:tcW w:w="1134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94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8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51" w:type="dxa"/>
            <w:vAlign w:val="center"/>
          </w:tcPr>
          <w:p w:rsidR="0013642C" w:rsidRDefault="00FE41FF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00" w:type="dxa"/>
            <w:vAlign w:val="center"/>
          </w:tcPr>
          <w:p w:rsidR="0013642C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C2E85" w:rsidTr="008E3D56">
        <w:tc>
          <w:tcPr>
            <w:tcW w:w="2093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BC2E85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1194" w:type="dxa"/>
            <w:vAlign w:val="center"/>
          </w:tcPr>
          <w:p w:rsidR="00BC2E85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7" w:type="dxa"/>
            <w:vAlign w:val="center"/>
          </w:tcPr>
          <w:p w:rsidR="00BC2E85" w:rsidRDefault="00FE41FF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418" w:type="dxa"/>
            <w:vAlign w:val="center"/>
          </w:tcPr>
          <w:p w:rsidR="00BC2E85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51" w:type="dxa"/>
            <w:vAlign w:val="center"/>
          </w:tcPr>
          <w:p w:rsidR="00BC2E85" w:rsidRDefault="004F2D02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300" w:type="dxa"/>
            <w:vAlign w:val="center"/>
          </w:tcPr>
          <w:p w:rsidR="00BC2E85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платных услуг</w:t>
            </w:r>
          </w:p>
        </w:tc>
        <w:tc>
          <w:tcPr>
            <w:tcW w:w="1134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  <w:tc>
          <w:tcPr>
            <w:tcW w:w="1194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</w:t>
            </w:r>
          </w:p>
        </w:tc>
        <w:tc>
          <w:tcPr>
            <w:tcW w:w="1418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51" w:type="dxa"/>
            <w:vAlign w:val="center"/>
          </w:tcPr>
          <w:p w:rsidR="00C04B49" w:rsidRDefault="004F2D02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</w:t>
            </w:r>
          </w:p>
        </w:tc>
        <w:tc>
          <w:tcPr>
            <w:tcW w:w="1300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</w:t>
            </w:r>
          </w:p>
        </w:tc>
        <w:tc>
          <w:tcPr>
            <w:tcW w:w="1194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</w:t>
            </w:r>
          </w:p>
        </w:tc>
        <w:tc>
          <w:tcPr>
            <w:tcW w:w="1418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center"/>
          </w:tcPr>
          <w:p w:rsidR="00C04B49" w:rsidRDefault="004F2D02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</w:t>
            </w:r>
          </w:p>
        </w:tc>
        <w:tc>
          <w:tcPr>
            <w:tcW w:w="1300" w:type="dxa"/>
            <w:vAlign w:val="center"/>
          </w:tcPr>
          <w:p w:rsidR="00C04B49" w:rsidRDefault="004F2D02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649E7" w:rsidRDefault="000649E7" w:rsidP="00824911">
      <w:pPr>
        <w:ind w:firstLine="708"/>
        <w:jc w:val="both"/>
        <w:rPr>
          <w:sz w:val="28"/>
          <w:szCs w:val="28"/>
        </w:rPr>
      </w:pPr>
    </w:p>
    <w:p w:rsidR="00DE171F" w:rsidRDefault="00BC2E85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собственных доходов приходится на поступления от налогов на прибыль, доходы</w:t>
      </w:r>
      <w:r w:rsidR="009B1916">
        <w:rPr>
          <w:sz w:val="28"/>
          <w:szCs w:val="28"/>
        </w:rPr>
        <w:t xml:space="preserve"> (6</w:t>
      </w:r>
      <w:r w:rsidR="004F2D02">
        <w:rPr>
          <w:sz w:val="28"/>
          <w:szCs w:val="28"/>
        </w:rPr>
        <w:t>4</w:t>
      </w:r>
      <w:r w:rsidR="009B1916">
        <w:rPr>
          <w:sz w:val="28"/>
          <w:szCs w:val="28"/>
        </w:rPr>
        <w:t>%, 6</w:t>
      </w:r>
      <w:r w:rsidR="004F2D02">
        <w:rPr>
          <w:sz w:val="28"/>
          <w:szCs w:val="28"/>
        </w:rPr>
        <w:t>5</w:t>
      </w:r>
      <w:r w:rsidR="009B1916">
        <w:rPr>
          <w:sz w:val="28"/>
          <w:szCs w:val="28"/>
        </w:rPr>
        <w:t>%, 6</w:t>
      </w:r>
      <w:r w:rsidR="004F2D02">
        <w:rPr>
          <w:sz w:val="28"/>
          <w:szCs w:val="28"/>
        </w:rPr>
        <w:t>5</w:t>
      </w:r>
      <w:r w:rsidR="009B1916">
        <w:rPr>
          <w:sz w:val="28"/>
          <w:szCs w:val="28"/>
        </w:rPr>
        <w:t xml:space="preserve">%), </w:t>
      </w:r>
      <w:r w:rsidR="004F2D02">
        <w:rPr>
          <w:sz w:val="28"/>
          <w:szCs w:val="28"/>
        </w:rPr>
        <w:t>налогов на товары (14</w:t>
      </w:r>
      <w:r w:rsidR="009B1916">
        <w:rPr>
          <w:sz w:val="28"/>
          <w:szCs w:val="28"/>
        </w:rPr>
        <w:t xml:space="preserve">%, 15%, 15%), </w:t>
      </w:r>
      <w:r w:rsidR="004F2D02">
        <w:rPr>
          <w:sz w:val="28"/>
          <w:szCs w:val="28"/>
        </w:rPr>
        <w:t>доходов от использования имущества (7%, 7%, 6%),</w:t>
      </w:r>
      <w:r w:rsidR="009B1916">
        <w:rPr>
          <w:sz w:val="28"/>
          <w:szCs w:val="28"/>
        </w:rPr>
        <w:t>налогов на совокупный доход (</w:t>
      </w:r>
      <w:r w:rsidR="00C717DB">
        <w:rPr>
          <w:sz w:val="28"/>
          <w:szCs w:val="28"/>
        </w:rPr>
        <w:t>7</w:t>
      </w:r>
      <w:r w:rsidR="004F2D02">
        <w:rPr>
          <w:sz w:val="28"/>
          <w:szCs w:val="28"/>
        </w:rPr>
        <w:t>%, 7%, 6</w:t>
      </w:r>
      <w:r w:rsidR="009B1916">
        <w:rPr>
          <w:sz w:val="28"/>
          <w:szCs w:val="28"/>
        </w:rPr>
        <w:t>%), прочих неналоговых доходов (3</w:t>
      </w:r>
      <w:r w:rsidR="004F2D02">
        <w:rPr>
          <w:sz w:val="28"/>
          <w:szCs w:val="28"/>
        </w:rPr>
        <w:t>,2%, 3%, 3</w:t>
      </w:r>
      <w:r w:rsidR="009B1916">
        <w:rPr>
          <w:sz w:val="28"/>
          <w:szCs w:val="28"/>
        </w:rPr>
        <w:t>%)</w:t>
      </w:r>
      <w:r w:rsidR="00C717DB">
        <w:rPr>
          <w:sz w:val="28"/>
          <w:szCs w:val="28"/>
        </w:rPr>
        <w:t xml:space="preserve">, доходов </w:t>
      </w:r>
      <w:r w:rsidR="00144A42">
        <w:rPr>
          <w:sz w:val="28"/>
          <w:szCs w:val="28"/>
        </w:rPr>
        <w:t>от оказания платных услуг (2%, 1,9%, 1,9%)</w:t>
      </w:r>
      <w:r w:rsidR="00C717DB">
        <w:rPr>
          <w:sz w:val="28"/>
          <w:szCs w:val="28"/>
        </w:rPr>
        <w:t xml:space="preserve">. </w:t>
      </w:r>
      <w:r w:rsidR="008554BA">
        <w:rPr>
          <w:sz w:val="28"/>
          <w:szCs w:val="28"/>
        </w:rPr>
        <w:t xml:space="preserve">Незначительную долю доходов составляют доходы государственной пошлины </w:t>
      </w:r>
      <w:r w:rsidR="008E3D56">
        <w:rPr>
          <w:sz w:val="28"/>
          <w:szCs w:val="28"/>
        </w:rPr>
        <w:t>(</w:t>
      </w:r>
      <w:r w:rsidR="009B1916">
        <w:rPr>
          <w:sz w:val="28"/>
          <w:szCs w:val="28"/>
        </w:rPr>
        <w:t>1%, 1%, 1%</w:t>
      </w:r>
      <w:r w:rsidR="008E3D56">
        <w:rPr>
          <w:sz w:val="28"/>
          <w:szCs w:val="28"/>
        </w:rPr>
        <w:t xml:space="preserve">), </w:t>
      </w:r>
      <w:r w:rsidR="009B1916">
        <w:rPr>
          <w:sz w:val="28"/>
          <w:szCs w:val="28"/>
        </w:rPr>
        <w:t>доходов от продажи активов (0,</w:t>
      </w:r>
      <w:r w:rsidR="00C717DB">
        <w:rPr>
          <w:sz w:val="28"/>
          <w:szCs w:val="28"/>
        </w:rPr>
        <w:t>2</w:t>
      </w:r>
      <w:r w:rsidR="009B1916">
        <w:rPr>
          <w:sz w:val="28"/>
          <w:szCs w:val="28"/>
        </w:rPr>
        <w:t>% 0,</w:t>
      </w:r>
      <w:r w:rsidR="00C717DB">
        <w:rPr>
          <w:sz w:val="28"/>
          <w:szCs w:val="28"/>
        </w:rPr>
        <w:t>2</w:t>
      </w:r>
      <w:r w:rsidR="009B1916">
        <w:rPr>
          <w:sz w:val="28"/>
          <w:szCs w:val="28"/>
        </w:rPr>
        <w:t>%, 0,</w:t>
      </w:r>
      <w:r w:rsidR="00C717DB">
        <w:rPr>
          <w:sz w:val="28"/>
          <w:szCs w:val="28"/>
        </w:rPr>
        <w:t>2</w:t>
      </w:r>
      <w:r w:rsidR="009B1916">
        <w:rPr>
          <w:sz w:val="28"/>
          <w:szCs w:val="28"/>
        </w:rPr>
        <w:t>%)</w:t>
      </w:r>
      <w:r w:rsidR="00C717DB">
        <w:rPr>
          <w:sz w:val="28"/>
          <w:szCs w:val="28"/>
        </w:rPr>
        <w:t>, а также от платежей при пользовании природными ресурсами</w:t>
      </w:r>
      <w:r w:rsidR="00144A42">
        <w:rPr>
          <w:sz w:val="28"/>
          <w:szCs w:val="28"/>
        </w:rPr>
        <w:t xml:space="preserve"> (0,05%, 0,04%, 0,04%)</w:t>
      </w:r>
      <w:r w:rsidR="009B1916">
        <w:rPr>
          <w:sz w:val="28"/>
          <w:szCs w:val="28"/>
        </w:rPr>
        <w:t>.</w:t>
      </w:r>
    </w:p>
    <w:p w:rsidR="002D7141" w:rsidRDefault="002D7141" w:rsidP="004E16EB">
      <w:pPr>
        <w:pStyle w:val="a7"/>
        <w:keepNext/>
        <w:jc w:val="both"/>
      </w:pPr>
    </w:p>
    <w:p w:rsidR="004E16EB" w:rsidRPr="004E16EB" w:rsidRDefault="004E16EB" w:rsidP="004E16EB">
      <w:pPr>
        <w:pStyle w:val="a7"/>
        <w:keepNext/>
        <w:jc w:val="both"/>
        <w:rPr>
          <w:sz w:val="24"/>
          <w:szCs w:val="24"/>
        </w:rPr>
      </w:pPr>
      <w:r w:rsidRPr="00637D6A">
        <w:t xml:space="preserve">Таблица </w:t>
      </w:r>
      <w:r w:rsidRPr="00637D6A">
        <w:rPr>
          <w:sz w:val="24"/>
          <w:szCs w:val="24"/>
        </w:rPr>
        <w:t>Сравнительная</w:t>
      </w:r>
      <w:r>
        <w:rPr>
          <w:sz w:val="24"/>
          <w:szCs w:val="24"/>
        </w:rPr>
        <w:t xml:space="preserve"> диаграмма</w:t>
      </w:r>
      <w:r w:rsidR="007237FB">
        <w:rPr>
          <w:sz w:val="24"/>
          <w:szCs w:val="24"/>
        </w:rPr>
        <w:t xml:space="preserve"> прогнозируемых</w:t>
      </w:r>
      <w:r>
        <w:rPr>
          <w:sz w:val="24"/>
          <w:szCs w:val="24"/>
        </w:rPr>
        <w:t xml:space="preserve"> собственных доходов бюджета Репьевского района</w:t>
      </w:r>
      <w:r w:rsidR="007237FB">
        <w:rPr>
          <w:sz w:val="24"/>
          <w:szCs w:val="24"/>
        </w:rPr>
        <w:t xml:space="preserve"> с ожидаемым исполнением.</w:t>
      </w:r>
      <w:r>
        <w:rPr>
          <w:sz w:val="24"/>
          <w:szCs w:val="24"/>
        </w:rPr>
        <w:t xml:space="preserve"> </w:t>
      </w:r>
    </w:p>
    <w:p w:rsidR="00DE171F" w:rsidRDefault="00DE171F" w:rsidP="0082491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6400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171F" w:rsidRDefault="008F6FB9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таблицы  видно, что п</w:t>
      </w:r>
      <w:r w:rsidR="00590A16">
        <w:rPr>
          <w:sz w:val="28"/>
          <w:szCs w:val="28"/>
        </w:rPr>
        <w:t>о сравнению с</w:t>
      </w:r>
      <w:r w:rsidR="007237FB">
        <w:rPr>
          <w:sz w:val="28"/>
          <w:szCs w:val="28"/>
        </w:rPr>
        <w:t xml:space="preserve"> ожидаемым исполнением районного бюджета за </w:t>
      </w:r>
      <w:r w:rsidR="00590A16">
        <w:rPr>
          <w:sz w:val="28"/>
          <w:szCs w:val="28"/>
        </w:rPr>
        <w:t xml:space="preserve"> 201</w:t>
      </w:r>
      <w:r w:rsidR="00637D6A">
        <w:rPr>
          <w:sz w:val="28"/>
          <w:szCs w:val="28"/>
        </w:rPr>
        <w:t>9</w:t>
      </w:r>
      <w:r w:rsidR="00590A16">
        <w:rPr>
          <w:sz w:val="28"/>
          <w:szCs w:val="28"/>
        </w:rPr>
        <w:t xml:space="preserve"> год, наблюдается рост по доходам от налогов на прибыль</w:t>
      </w:r>
      <w:r w:rsidR="007237FB">
        <w:rPr>
          <w:sz w:val="28"/>
          <w:szCs w:val="28"/>
        </w:rPr>
        <w:t xml:space="preserve">, доходы в </w:t>
      </w:r>
      <w:r w:rsidR="00590A16">
        <w:rPr>
          <w:sz w:val="28"/>
          <w:szCs w:val="28"/>
        </w:rPr>
        <w:t xml:space="preserve"> сумме </w:t>
      </w:r>
      <w:r w:rsidR="00637D6A">
        <w:rPr>
          <w:sz w:val="28"/>
          <w:szCs w:val="28"/>
        </w:rPr>
        <w:t>1735</w:t>
      </w:r>
      <w:r w:rsidR="00590A16">
        <w:rPr>
          <w:sz w:val="28"/>
          <w:szCs w:val="28"/>
        </w:rPr>
        <w:t xml:space="preserve"> тыс. рублей</w:t>
      </w:r>
      <w:r w:rsidR="00DD496B">
        <w:rPr>
          <w:sz w:val="28"/>
          <w:szCs w:val="28"/>
        </w:rPr>
        <w:t xml:space="preserve">, по налогам на товары на </w:t>
      </w:r>
      <w:r w:rsidR="008E31B3">
        <w:rPr>
          <w:sz w:val="28"/>
          <w:szCs w:val="28"/>
        </w:rPr>
        <w:t>1026</w:t>
      </w:r>
      <w:r w:rsidR="00DD496B">
        <w:rPr>
          <w:sz w:val="28"/>
          <w:szCs w:val="28"/>
        </w:rPr>
        <w:t xml:space="preserve"> тыс. рублей</w:t>
      </w:r>
      <w:r w:rsidR="007237FB">
        <w:rPr>
          <w:sz w:val="28"/>
          <w:szCs w:val="28"/>
        </w:rPr>
        <w:t>, по поступлениям от н</w:t>
      </w:r>
      <w:r w:rsidR="008E31B3">
        <w:rPr>
          <w:sz w:val="28"/>
          <w:szCs w:val="28"/>
        </w:rPr>
        <w:t>алогов на совокупный доход на 117</w:t>
      </w:r>
      <w:r w:rsidR="007237FB">
        <w:rPr>
          <w:sz w:val="28"/>
          <w:szCs w:val="28"/>
        </w:rPr>
        <w:t xml:space="preserve"> тыс. рублей</w:t>
      </w:r>
      <w:r w:rsidR="00590A16">
        <w:rPr>
          <w:sz w:val="28"/>
          <w:szCs w:val="28"/>
        </w:rPr>
        <w:t>.</w:t>
      </w:r>
      <w:r w:rsidR="007237FB">
        <w:rPr>
          <w:sz w:val="28"/>
          <w:szCs w:val="28"/>
        </w:rPr>
        <w:t xml:space="preserve"> Незначительное увеличение поступлений планируется по доходам от го</w:t>
      </w:r>
      <w:r w:rsidR="008E31B3">
        <w:rPr>
          <w:sz w:val="28"/>
          <w:szCs w:val="28"/>
        </w:rPr>
        <w:t>сударственной пошлины в сумме 15</w:t>
      </w:r>
      <w:r w:rsidR="007237FB">
        <w:rPr>
          <w:sz w:val="28"/>
          <w:szCs w:val="28"/>
        </w:rPr>
        <w:t xml:space="preserve"> тыс. рублей.</w:t>
      </w:r>
      <w:r w:rsidR="00590A16">
        <w:rPr>
          <w:sz w:val="28"/>
          <w:szCs w:val="28"/>
        </w:rPr>
        <w:t xml:space="preserve"> Наряду с увеличением по вышеперечисленным доходам наблюдается значительное снижение доходов </w:t>
      </w:r>
      <w:r w:rsidR="00DD496B">
        <w:rPr>
          <w:sz w:val="28"/>
          <w:szCs w:val="28"/>
        </w:rPr>
        <w:t>по неналоговым доходам</w:t>
      </w:r>
      <w:r w:rsidR="00590A16">
        <w:rPr>
          <w:sz w:val="28"/>
          <w:szCs w:val="28"/>
        </w:rPr>
        <w:t xml:space="preserve"> на </w:t>
      </w:r>
      <w:r w:rsidR="008E31B3">
        <w:rPr>
          <w:sz w:val="28"/>
          <w:szCs w:val="28"/>
        </w:rPr>
        <w:t>1346</w:t>
      </w:r>
      <w:r w:rsidR="00DE171F">
        <w:rPr>
          <w:sz w:val="28"/>
          <w:szCs w:val="28"/>
        </w:rPr>
        <w:t xml:space="preserve"> тыс. рублей (</w:t>
      </w:r>
      <w:r w:rsidR="00B52838">
        <w:rPr>
          <w:sz w:val="28"/>
          <w:szCs w:val="28"/>
        </w:rPr>
        <w:t>сокращении доходов от продажи активов</w:t>
      </w:r>
      <w:r w:rsidR="00DD496B">
        <w:rPr>
          <w:sz w:val="28"/>
          <w:szCs w:val="28"/>
        </w:rPr>
        <w:t>)</w:t>
      </w:r>
      <w:r w:rsidR="00590A16">
        <w:rPr>
          <w:sz w:val="28"/>
          <w:szCs w:val="28"/>
        </w:rPr>
        <w:t xml:space="preserve">. </w:t>
      </w:r>
    </w:p>
    <w:p w:rsidR="00DE171F" w:rsidRDefault="00DE171F" w:rsidP="00824911">
      <w:pPr>
        <w:ind w:firstLine="708"/>
        <w:jc w:val="both"/>
        <w:rPr>
          <w:sz w:val="28"/>
          <w:szCs w:val="28"/>
        </w:rPr>
      </w:pPr>
    </w:p>
    <w:p w:rsidR="004B3A39" w:rsidRDefault="00F46C0B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90A16" w:rsidRPr="00DE19C4">
        <w:rPr>
          <w:sz w:val="28"/>
          <w:szCs w:val="28"/>
        </w:rPr>
        <w:t xml:space="preserve"> году</w:t>
      </w:r>
      <w:r w:rsidR="00590A16">
        <w:rPr>
          <w:sz w:val="28"/>
          <w:szCs w:val="28"/>
        </w:rPr>
        <w:t xml:space="preserve"> планируются  безвозмездные поступл</w:t>
      </w:r>
      <w:r w:rsidR="008A5885">
        <w:rPr>
          <w:sz w:val="28"/>
          <w:szCs w:val="28"/>
        </w:rPr>
        <w:t xml:space="preserve">ения </w:t>
      </w:r>
      <w:r>
        <w:rPr>
          <w:sz w:val="28"/>
          <w:szCs w:val="28"/>
        </w:rPr>
        <w:t>287549,1</w:t>
      </w:r>
      <w:r w:rsidR="008A5885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21</w:t>
      </w:r>
      <w:r w:rsidR="008A588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192541,1</w:t>
      </w:r>
      <w:r w:rsidR="008A5885">
        <w:rPr>
          <w:sz w:val="28"/>
          <w:szCs w:val="28"/>
        </w:rPr>
        <w:t xml:space="preserve"> тыс. рублей, в 20</w:t>
      </w:r>
      <w:r w:rsidR="00DD496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A588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224613,7</w:t>
      </w:r>
      <w:r w:rsidR="008A5885">
        <w:rPr>
          <w:sz w:val="28"/>
          <w:szCs w:val="28"/>
        </w:rPr>
        <w:t xml:space="preserve"> тыс. рублей.</w:t>
      </w:r>
      <w:r w:rsidR="00DD34BD">
        <w:rPr>
          <w:sz w:val="28"/>
          <w:szCs w:val="28"/>
        </w:rPr>
        <w:t xml:space="preserve"> </w:t>
      </w:r>
      <w:r w:rsidR="008A5885">
        <w:rPr>
          <w:sz w:val="28"/>
          <w:szCs w:val="28"/>
        </w:rPr>
        <w:t>М</w:t>
      </w:r>
      <w:r w:rsidR="00590A16">
        <w:rPr>
          <w:sz w:val="28"/>
          <w:szCs w:val="28"/>
        </w:rPr>
        <w:t>ежбюджетны</w:t>
      </w:r>
      <w:r w:rsidR="008A5885">
        <w:rPr>
          <w:sz w:val="28"/>
          <w:szCs w:val="28"/>
        </w:rPr>
        <w:t>е трансферты планиру</w:t>
      </w:r>
      <w:r w:rsidR="00676F49">
        <w:rPr>
          <w:sz w:val="28"/>
          <w:szCs w:val="28"/>
        </w:rPr>
        <w:t>ю</w:t>
      </w:r>
      <w:r w:rsidR="008A5885">
        <w:rPr>
          <w:sz w:val="28"/>
          <w:szCs w:val="28"/>
        </w:rPr>
        <w:t xml:space="preserve">тся на предоставление </w:t>
      </w:r>
      <w:proofErr w:type="gramStart"/>
      <w:r w:rsidR="008A5885">
        <w:rPr>
          <w:sz w:val="28"/>
          <w:szCs w:val="28"/>
        </w:rPr>
        <w:t>дотаций</w:t>
      </w:r>
      <w:proofErr w:type="gramEnd"/>
      <w:r w:rsidR="008A5885">
        <w:rPr>
          <w:sz w:val="28"/>
          <w:szCs w:val="28"/>
        </w:rPr>
        <w:t xml:space="preserve"> на выравнивание бюджетной обеспеченности, </w:t>
      </w:r>
      <w:r w:rsidR="00362DCE">
        <w:rPr>
          <w:sz w:val="28"/>
          <w:szCs w:val="28"/>
        </w:rPr>
        <w:t>д</w:t>
      </w:r>
      <w:r w:rsidR="008A5885">
        <w:rPr>
          <w:sz w:val="28"/>
          <w:szCs w:val="28"/>
        </w:rPr>
        <w:t>отации</w:t>
      </w:r>
      <w:r w:rsidR="00362DCE">
        <w:rPr>
          <w:sz w:val="28"/>
          <w:szCs w:val="28"/>
        </w:rPr>
        <w:t xml:space="preserve"> на сбалансированность бюджетов</w:t>
      </w:r>
      <w:r w:rsidR="008A5885">
        <w:rPr>
          <w:sz w:val="28"/>
          <w:szCs w:val="28"/>
        </w:rPr>
        <w:t>,</w:t>
      </w:r>
      <w:r w:rsidR="00362DCE">
        <w:rPr>
          <w:sz w:val="28"/>
          <w:szCs w:val="28"/>
        </w:rPr>
        <w:t xml:space="preserve"> субсидии на </w:t>
      </w:r>
      <w:r>
        <w:rPr>
          <w:sz w:val="28"/>
          <w:szCs w:val="28"/>
        </w:rPr>
        <w:t xml:space="preserve">реконструкцию автомобильных дорог, обновление </w:t>
      </w:r>
      <w:r>
        <w:rPr>
          <w:sz w:val="28"/>
          <w:szCs w:val="28"/>
        </w:rPr>
        <w:lastRenderedPageBreak/>
        <w:t xml:space="preserve">материально-технической базы для обучающихся, на внедрение цифровой модели образовательной среды, по обеспечении. </w:t>
      </w:r>
      <w:proofErr w:type="gramStart"/>
      <w:r>
        <w:rPr>
          <w:sz w:val="28"/>
          <w:szCs w:val="28"/>
        </w:rPr>
        <w:t xml:space="preserve">Жильем молодых семей, на </w:t>
      </w:r>
      <w:r w:rsidR="00362DCE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>, на обеспечение комплексного развития сельской территории, на развитие транспортной инфраструктуры на сельских территориях</w:t>
      </w:r>
      <w:r w:rsidR="00362D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2DCE">
        <w:rPr>
          <w:sz w:val="28"/>
          <w:szCs w:val="28"/>
        </w:rPr>
        <w:t xml:space="preserve"> прочие субсидии, </w:t>
      </w:r>
      <w:r w:rsidR="008A5885">
        <w:rPr>
          <w:sz w:val="28"/>
          <w:szCs w:val="28"/>
        </w:rPr>
        <w:t xml:space="preserve"> субвенции местным бюджетам на выполнение передаваемых полномочий су</w:t>
      </w:r>
      <w:r w:rsidR="005841C2">
        <w:rPr>
          <w:sz w:val="28"/>
          <w:szCs w:val="28"/>
        </w:rPr>
        <w:t>бъектов РФ,</w:t>
      </w:r>
      <w:r>
        <w:rPr>
          <w:sz w:val="28"/>
          <w:szCs w:val="28"/>
        </w:rPr>
        <w:t xml:space="preserve"> на компенсацию части платы, взимаемой с родителей, на выплату пособия при всех формах устройства детей в семью, на единую субвенцию бюджетам муниципальных районов,</w:t>
      </w:r>
      <w:r w:rsidR="005841C2">
        <w:rPr>
          <w:sz w:val="28"/>
          <w:szCs w:val="28"/>
        </w:rPr>
        <w:t xml:space="preserve"> прочие субвенции, </w:t>
      </w:r>
      <w:r w:rsidR="005841C2" w:rsidRPr="00362DCE">
        <w:rPr>
          <w:sz w:val="28"/>
          <w:szCs w:val="28"/>
        </w:rPr>
        <w:t>иные</w:t>
      </w:r>
      <w:r w:rsidR="005841C2">
        <w:rPr>
          <w:sz w:val="28"/>
          <w:szCs w:val="28"/>
        </w:rPr>
        <w:t xml:space="preserve"> межбюджетные трансферты, передаваемые</w:t>
      </w:r>
      <w:proofErr w:type="gramEnd"/>
      <w:r w:rsidR="005841C2">
        <w:rPr>
          <w:sz w:val="28"/>
          <w:szCs w:val="28"/>
        </w:rPr>
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362DCE">
        <w:rPr>
          <w:sz w:val="28"/>
          <w:szCs w:val="28"/>
        </w:rPr>
        <w:t>, а также прочие межбюджетные трансферты</w:t>
      </w:r>
      <w:r w:rsidR="005841C2">
        <w:rPr>
          <w:sz w:val="28"/>
          <w:szCs w:val="28"/>
        </w:rPr>
        <w:t>.</w:t>
      </w:r>
    </w:p>
    <w:p w:rsidR="000649E7" w:rsidRDefault="000649E7" w:rsidP="00824911">
      <w:pPr>
        <w:ind w:firstLine="708"/>
        <w:jc w:val="both"/>
        <w:rPr>
          <w:sz w:val="28"/>
          <w:szCs w:val="28"/>
        </w:rPr>
      </w:pPr>
    </w:p>
    <w:p w:rsidR="00B04157" w:rsidRDefault="0003124F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</w:t>
      </w:r>
      <w:r w:rsidR="00F46C0B">
        <w:rPr>
          <w:sz w:val="28"/>
          <w:szCs w:val="28"/>
        </w:rPr>
        <w:t xml:space="preserve"> в 2020</w:t>
      </w:r>
      <w:r w:rsidR="00BD2DDE">
        <w:rPr>
          <w:sz w:val="28"/>
          <w:szCs w:val="28"/>
        </w:rPr>
        <w:t xml:space="preserve"> году и плановом периоде 20</w:t>
      </w:r>
      <w:r w:rsidR="00F46C0B">
        <w:rPr>
          <w:sz w:val="28"/>
          <w:szCs w:val="28"/>
        </w:rPr>
        <w:t>21</w:t>
      </w:r>
      <w:r w:rsidR="00BD2DDE">
        <w:rPr>
          <w:sz w:val="28"/>
          <w:szCs w:val="28"/>
        </w:rPr>
        <w:t>-20</w:t>
      </w:r>
      <w:r w:rsidR="00362DCE">
        <w:rPr>
          <w:sz w:val="28"/>
          <w:szCs w:val="28"/>
        </w:rPr>
        <w:t>2</w:t>
      </w:r>
      <w:r w:rsidR="00F46C0B">
        <w:rPr>
          <w:sz w:val="28"/>
          <w:szCs w:val="28"/>
        </w:rPr>
        <w:t>2</w:t>
      </w:r>
      <w:r w:rsidR="00BD2DDE">
        <w:rPr>
          <w:sz w:val="28"/>
          <w:szCs w:val="28"/>
        </w:rPr>
        <w:t xml:space="preserve">гг. будут ориентированы на улучшение условий жизни человека, адресное решение социальных проблем и повышение качества муниципальных услуг. Формирование расходов осуществлялось в соответствии с расходными обязательствами на основании реестра расходных </w:t>
      </w:r>
      <w:r w:rsidR="00BD2DDE" w:rsidRPr="001F1E66">
        <w:rPr>
          <w:sz w:val="28"/>
          <w:szCs w:val="28"/>
        </w:rPr>
        <w:t>обязательств</w:t>
      </w:r>
      <w:r w:rsidR="008521D1" w:rsidRPr="001F1E66">
        <w:rPr>
          <w:sz w:val="28"/>
          <w:szCs w:val="28"/>
        </w:rPr>
        <w:t>.</w:t>
      </w:r>
    </w:p>
    <w:p w:rsidR="00B04157" w:rsidRDefault="00B04157" w:rsidP="00824911">
      <w:pPr>
        <w:ind w:firstLine="708"/>
        <w:jc w:val="both"/>
        <w:rPr>
          <w:sz w:val="28"/>
          <w:szCs w:val="28"/>
        </w:rPr>
      </w:pPr>
    </w:p>
    <w:p w:rsidR="008521D1" w:rsidRPr="00FA04AE" w:rsidRDefault="0032531E" w:rsidP="008521D1">
      <w:pPr>
        <w:pStyle w:val="a7"/>
        <w:keepNext/>
        <w:jc w:val="both"/>
        <w:rPr>
          <w:sz w:val="24"/>
          <w:szCs w:val="24"/>
        </w:rPr>
      </w:pPr>
      <w:r w:rsidRPr="0032531E">
        <w:rPr>
          <w:sz w:val="24"/>
          <w:szCs w:val="24"/>
        </w:rPr>
        <w:t>Сравнительный а</w:t>
      </w:r>
      <w:r w:rsidR="00FA04AE">
        <w:rPr>
          <w:sz w:val="24"/>
          <w:szCs w:val="24"/>
        </w:rPr>
        <w:t>нализ структуры расходов</w:t>
      </w:r>
    </w:p>
    <w:p w:rsidR="00BD2DDE" w:rsidRDefault="00B04157" w:rsidP="00F05B88">
      <w:pPr>
        <w:ind w:left="-567" w:righ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0825" cy="42195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DDE" w:rsidRDefault="00BD2DDE" w:rsidP="00824911">
      <w:pPr>
        <w:ind w:firstLine="708"/>
        <w:jc w:val="both"/>
        <w:rPr>
          <w:sz w:val="28"/>
          <w:szCs w:val="28"/>
        </w:rPr>
      </w:pPr>
    </w:p>
    <w:p w:rsidR="00ED2542" w:rsidRDefault="0032531E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</w:t>
      </w:r>
      <w:r w:rsidR="002B3C83">
        <w:rPr>
          <w:sz w:val="28"/>
          <w:szCs w:val="28"/>
        </w:rPr>
        <w:t xml:space="preserve"> запланированных расходов на 2020</w:t>
      </w:r>
      <w:r>
        <w:rPr>
          <w:sz w:val="28"/>
          <w:szCs w:val="28"/>
        </w:rPr>
        <w:t xml:space="preserve"> год составила</w:t>
      </w:r>
      <w:r w:rsidR="002B3C83">
        <w:rPr>
          <w:sz w:val="28"/>
          <w:szCs w:val="28"/>
        </w:rPr>
        <w:t xml:space="preserve"> </w:t>
      </w:r>
      <w:r w:rsidR="001F1E66">
        <w:rPr>
          <w:sz w:val="28"/>
          <w:szCs w:val="28"/>
        </w:rPr>
        <w:t xml:space="preserve"> </w:t>
      </w:r>
      <w:r w:rsidR="002B3C83">
        <w:rPr>
          <w:sz w:val="28"/>
          <w:szCs w:val="28"/>
        </w:rPr>
        <w:t xml:space="preserve">358442,4 </w:t>
      </w:r>
      <w:r>
        <w:rPr>
          <w:sz w:val="28"/>
          <w:szCs w:val="28"/>
        </w:rPr>
        <w:t>тыс. рублей, на 20</w:t>
      </w:r>
      <w:r w:rsidR="002B3C8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B3C83">
        <w:rPr>
          <w:sz w:val="28"/>
          <w:szCs w:val="28"/>
        </w:rPr>
        <w:t>264191,1</w:t>
      </w:r>
      <w:r>
        <w:rPr>
          <w:sz w:val="28"/>
          <w:szCs w:val="28"/>
        </w:rPr>
        <w:t xml:space="preserve"> тыс. рублей, на 20</w:t>
      </w:r>
      <w:r w:rsidR="001F1E66">
        <w:rPr>
          <w:sz w:val="28"/>
          <w:szCs w:val="28"/>
        </w:rPr>
        <w:t>2</w:t>
      </w:r>
      <w:r w:rsidR="002B3C8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B3C83">
        <w:rPr>
          <w:sz w:val="28"/>
          <w:szCs w:val="28"/>
        </w:rPr>
        <w:t>300878,7</w:t>
      </w:r>
      <w:r>
        <w:rPr>
          <w:sz w:val="28"/>
          <w:szCs w:val="28"/>
        </w:rPr>
        <w:t xml:space="preserve"> тыс. рублей. </w:t>
      </w:r>
      <w:r w:rsidR="00FA04AE">
        <w:rPr>
          <w:sz w:val="28"/>
          <w:szCs w:val="28"/>
        </w:rPr>
        <w:t xml:space="preserve">Из </w:t>
      </w:r>
      <w:r w:rsidR="004F01A7">
        <w:rPr>
          <w:sz w:val="28"/>
          <w:szCs w:val="28"/>
        </w:rPr>
        <w:t xml:space="preserve">анализа </w:t>
      </w:r>
      <w:r w:rsidR="002B3C83">
        <w:rPr>
          <w:sz w:val="28"/>
          <w:szCs w:val="28"/>
        </w:rPr>
        <w:t>структуры расходов на 2020</w:t>
      </w:r>
      <w:r w:rsidR="00FA04AE">
        <w:rPr>
          <w:sz w:val="28"/>
          <w:szCs w:val="28"/>
        </w:rPr>
        <w:t xml:space="preserve"> год и плановый период 20</w:t>
      </w:r>
      <w:r w:rsidR="002B3C83">
        <w:rPr>
          <w:sz w:val="28"/>
          <w:szCs w:val="28"/>
        </w:rPr>
        <w:t>21</w:t>
      </w:r>
      <w:r w:rsidR="00FA04AE">
        <w:rPr>
          <w:sz w:val="28"/>
          <w:szCs w:val="28"/>
        </w:rPr>
        <w:t>-20</w:t>
      </w:r>
      <w:r w:rsidR="001F1E66">
        <w:rPr>
          <w:sz w:val="28"/>
          <w:szCs w:val="28"/>
        </w:rPr>
        <w:t>2</w:t>
      </w:r>
      <w:r w:rsidR="002B3C83">
        <w:rPr>
          <w:sz w:val="28"/>
          <w:szCs w:val="28"/>
        </w:rPr>
        <w:t>2</w:t>
      </w:r>
      <w:r w:rsidR="00FA04AE">
        <w:rPr>
          <w:sz w:val="28"/>
          <w:szCs w:val="28"/>
        </w:rPr>
        <w:t>гг. видно, что по сравнению с 201</w:t>
      </w:r>
      <w:r w:rsidR="007B6918">
        <w:rPr>
          <w:sz w:val="28"/>
          <w:szCs w:val="28"/>
        </w:rPr>
        <w:t>9</w:t>
      </w:r>
      <w:r w:rsidR="00FA04AE">
        <w:rPr>
          <w:sz w:val="28"/>
          <w:szCs w:val="28"/>
        </w:rPr>
        <w:t xml:space="preserve"> годом </w:t>
      </w:r>
      <w:r w:rsidR="004F01A7">
        <w:rPr>
          <w:sz w:val="28"/>
          <w:szCs w:val="28"/>
        </w:rPr>
        <w:t xml:space="preserve"> </w:t>
      </w:r>
      <w:r w:rsidR="00FA04AE">
        <w:rPr>
          <w:sz w:val="28"/>
          <w:szCs w:val="28"/>
        </w:rPr>
        <w:t>увеличились расходы</w:t>
      </w:r>
      <w:r w:rsidR="00174E6B">
        <w:rPr>
          <w:sz w:val="28"/>
          <w:szCs w:val="28"/>
        </w:rPr>
        <w:t xml:space="preserve"> </w:t>
      </w:r>
      <w:r w:rsidR="00F05B88">
        <w:rPr>
          <w:sz w:val="28"/>
          <w:szCs w:val="28"/>
        </w:rPr>
        <w:t xml:space="preserve">по разделу  </w:t>
      </w:r>
      <w:r w:rsidR="007B6918">
        <w:rPr>
          <w:sz w:val="28"/>
          <w:szCs w:val="28"/>
        </w:rPr>
        <w:t>«общегосударственные вопросы»</w:t>
      </w:r>
      <w:r w:rsidR="00F05B88">
        <w:rPr>
          <w:sz w:val="28"/>
          <w:szCs w:val="28"/>
        </w:rPr>
        <w:t xml:space="preserve">, увеличение составило </w:t>
      </w:r>
      <w:r w:rsidR="007B6918">
        <w:rPr>
          <w:sz w:val="28"/>
          <w:szCs w:val="28"/>
        </w:rPr>
        <w:t>11611,4</w:t>
      </w:r>
      <w:r w:rsidR="00F05B88">
        <w:rPr>
          <w:sz w:val="28"/>
          <w:szCs w:val="28"/>
        </w:rPr>
        <w:t xml:space="preserve"> тыс</w:t>
      </w:r>
      <w:proofErr w:type="gramStart"/>
      <w:r w:rsidR="00F05B88">
        <w:rPr>
          <w:sz w:val="28"/>
          <w:szCs w:val="28"/>
        </w:rPr>
        <w:t>.</w:t>
      </w:r>
      <w:r w:rsidR="007B6918">
        <w:rPr>
          <w:sz w:val="28"/>
          <w:szCs w:val="28"/>
        </w:rPr>
        <w:t>р</w:t>
      </w:r>
      <w:proofErr w:type="gramEnd"/>
      <w:r w:rsidR="007B6918">
        <w:rPr>
          <w:sz w:val="28"/>
          <w:szCs w:val="28"/>
        </w:rPr>
        <w:t>ублей</w:t>
      </w:r>
      <w:r w:rsidR="00D33390">
        <w:rPr>
          <w:sz w:val="28"/>
          <w:szCs w:val="28"/>
        </w:rPr>
        <w:t xml:space="preserve"> (увеличение резервного фонда)</w:t>
      </w:r>
      <w:r w:rsidR="00AF08DA">
        <w:rPr>
          <w:sz w:val="28"/>
          <w:szCs w:val="28"/>
        </w:rPr>
        <w:t>, по разделу «национальная экономика» увеличени</w:t>
      </w:r>
      <w:r w:rsidR="00121FD8">
        <w:rPr>
          <w:sz w:val="28"/>
          <w:szCs w:val="28"/>
        </w:rPr>
        <w:t>е составило 33847,7 тыс. рублей</w:t>
      </w:r>
      <w:r w:rsidR="00D33390">
        <w:rPr>
          <w:sz w:val="28"/>
          <w:szCs w:val="28"/>
        </w:rPr>
        <w:t xml:space="preserve"> (увеличение расходов на дорожную деятельность)</w:t>
      </w:r>
      <w:r w:rsidR="00121FD8">
        <w:rPr>
          <w:sz w:val="28"/>
          <w:szCs w:val="28"/>
        </w:rPr>
        <w:t>. По разделу ЖКХ расходы увеличены на 6582,7 тыс. рублей</w:t>
      </w:r>
      <w:r w:rsidR="00D33390">
        <w:rPr>
          <w:sz w:val="28"/>
          <w:szCs w:val="28"/>
        </w:rPr>
        <w:t xml:space="preserve"> </w:t>
      </w:r>
      <w:r w:rsidR="00D33390">
        <w:rPr>
          <w:sz w:val="28"/>
          <w:szCs w:val="28"/>
        </w:rPr>
        <w:lastRenderedPageBreak/>
        <w:t>(увеличение субсидий на благоустройство и уличное освещение)</w:t>
      </w:r>
      <w:r w:rsidR="00121FD8">
        <w:rPr>
          <w:sz w:val="28"/>
          <w:szCs w:val="28"/>
        </w:rPr>
        <w:t xml:space="preserve">. </w:t>
      </w:r>
      <w:r w:rsidR="00162E26">
        <w:rPr>
          <w:sz w:val="28"/>
          <w:szCs w:val="28"/>
        </w:rPr>
        <w:t>Раз</w:t>
      </w:r>
      <w:r w:rsidR="00121FD8">
        <w:rPr>
          <w:sz w:val="28"/>
          <w:szCs w:val="28"/>
        </w:rPr>
        <w:t>дел «социальная политика» в 2020</w:t>
      </w:r>
      <w:r w:rsidR="00162E26">
        <w:rPr>
          <w:sz w:val="28"/>
          <w:szCs w:val="28"/>
        </w:rPr>
        <w:t xml:space="preserve"> году плани</w:t>
      </w:r>
      <w:r w:rsidR="00121FD8">
        <w:rPr>
          <w:sz w:val="28"/>
          <w:szCs w:val="28"/>
        </w:rPr>
        <w:t>руется профинансировать на 7979,2</w:t>
      </w:r>
      <w:r w:rsidR="00162E26">
        <w:rPr>
          <w:sz w:val="28"/>
          <w:szCs w:val="28"/>
        </w:rPr>
        <w:t xml:space="preserve"> </w:t>
      </w:r>
      <w:r w:rsidR="00121FD8">
        <w:rPr>
          <w:sz w:val="28"/>
          <w:szCs w:val="28"/>
        </w:rPr>
        <w:t>тыс. рублей больше чем в 2019</w:t>
      </w:r>
      <w:r w:rsidR="00162E26">
        <w:rPr>
          <w:sz w:val="28"/>
          <w:szCs w:val="28"/>
        </w:rPr>
        <w:t xml:space="preserve"> году</w:t>
      </w:r>
      <w:r w:rsidR="00D33390">
        <w:rPr>
          <w:sz w:val="28"/>
          <w:szCs w:val="28"/>
        </w:rPr>
        <w:t xml:space="preserve"> (увеличилось финансирование программ социальной направленности)</w:t>
      </w:r>
      <w:r w:rsidR="00162E26">
        <w:rPr>
          <w:sz w:val="28"/>
          <w:szCs w:val="28"/>
        </w:rPr>
        <w:t>, «физическая культура и спорт</w:t>
      </w:r>
      <w:r w:rsidR="00D33390">
        <w:rPr>
          <w:sz w:val="28"/>
          <w:szCs w:val="28"/>
        </w:rPr>
        <w:t xml:space="preserve">»  увеличена сумма расходов по сравнению с 2019 годом </w:t>
      </w:r>
      <w:r w:rsidR="00162E26">
        <w:rPr>
          <w:sz w:val="28"/>
          <w:szCs w:val="28"/>
        </w:rPr>
        <w:t>на 322,3 тыс. рублей</w:t>
      </w:r>
      <w:r w:rsidR="00D33390">
        <w:rPr>
          <w:sz w:val="28"/>
          <w:szCs w:val="28"/>
        </w:rPr>
        <w:t xml:space="preserve"> (предусмотрены расходы по налоговому обременению)</w:t>
      </w:r>
      <w:r w:rsidR="00676F49">
        <w:rPr>
          <w:sz w:val="28"/>
          <w:szCs w:val="28"/>
        </w:rPr>
        <w:t>.</w:t>
      </w:r>
    </w:p>
    <w:p w:rsidR="00ED2542" w:rsidRDefault="00ED2542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508" w:rsidRDefault="006E04CF" w:rsidP="0016024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«межбюджетные трансферты»</w:t>
      </w:r>
      <w:r w:rsidR="00ED2542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 расходы на предоставление дотаций по сбалан</w:t>
      </w:r>
      <w:r w:rsidR="00DF7B66">
        <w:rPr>
          <w:sz w:val="28"/>
          <w:szCs w:val="28"/>
        </w:rPr>
        <w:t>сированности бюджетов поселений</w:t>
      </w:r>
      <w:r w:rsidR="0010218C">
        <w:rPr>
          <w:sz w:val="28"/>
          <w:szCs w:val="28"/>
        </w:rPr>
        <w:t>.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регулируется Законом ВО от 07.12.2006г. №108-ОЗ, а также законом ВО от 17.11.2005г. №68-ОЗ.</w:t>
      </w:r>
      <w:r w:rsidR="009A5E4A">
        <w:rPr>
          <w:sz w:val="28"/>
          <w:szCs w:val="28"/>
        </w:rPr>
        <w:t xml:space="preserve"> </w:t>
      </w:r>
      <w:proofErr w:type="gramStart"/>
      <w:r w:rsidR="009A5E4A">
        <w:rPr>
          <w:sz w:val="28"/>
          <w:szCs w:val="28"/>
        </w:rPr>
        <w:t>Общий объем дотаций на выравнивание бюджетной обеспеченности поселений из бюд</w:t>
      </w:r>
      <w:r w:rsidR="00B720A1">
        <w:rPr>
          <w:sz w:val="28"/>
          <w:szCs w:val="28"/>
        </w:rPr>
        <w:t>жета муниципального района в 2020</w:t>
      </w:r>
      <w:r w:rsidR="009A5E4A">
        <w:rPr>
          <w:sz w:val="28"/>
          <w:szCs w:val="28"/>
        </w:rPr>
        <w:t xml:space="preserve"> году равен </w:t>
      </w:r>
      <w:r w:rsidR="00B720A1">
        <w:rPr>
          <w:sz w:val="28"/>
          <w:szCs w:val="28"/>
        </w:rPr>
        <w:t>3,4</w:t>
      </w:r>
      <w:r w:rsidR="009A5E4A" w:rsidRPr="00D04E56">
        <w:rPr>
          <w:sz w:val="28"/>
          <w:szCs w:val="28"/>
        </w:rPr>
        <w:t>% собственных</w:t>
      </w:r>
      <w:r w:rsidR="009A5E4A">
        <w:rPr>
          <w:sz w:val="28"/>
          <w:szCs w:val="28"/>
        </w:rPr>
        <w:t xml:space="preserve"> доходов без учета поступлений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и платных услуг, оказываемых казенными учреждениями, в 20</w:t>
      </w:r>
      <w:r w:rsidR="00D04E56">
        <w:rPr>
          <w:sz w:val="28"/>
          <w:szCs w:val="28"/>
        </w:rPr>
        <w:t>21</w:t>
      </w:r>
      <w:r w:rsidR="009A5E4A">
        <w:rPr>
          <w:sz w:val="28"/>
          <w:szCs w:val="28"/>
        </w:rPr>
        <w:t xml:space="preserve"> году – </w:t>
      </w:r>
      <w:r w:rsidR="00F3080F">
        <w:rPr>
          <w:sz w:val="28"/>
          <w:szCs w:val="28"/>
        </w:rPr>
        <w:t>3,2</w:t>
      </w:r>
      <w:r w:rsidR="009A5E4A">
        <w:rPr>
          <w:sz w:val="28"/>
          <w:szCs w:val="28"/>
        </w:rPr>
        <w:t>% собственных доходов без учета поступлений от акцизов на автомобильный бензин</w:t>
      </w:r>
      <w:proofErr w:type="gramEnd"/>
      <w:r w:rsidR="009A5E4A">
        <w:rPr>
          <w:sz w:val="28"/>
          <w:szCs w:val="28"/>
        </w:rPr>
        <w:t xml:space="preserve">, </w:t>
      </w:r>
      <w:proofErr w:type="gramStart"/>
      <w:r w:rsidR="009A5E4A">
        <w:rPr>
          <w:sz w:val="28"/>
          <w:szCs w:val="28"/>
        </w:rPr>
        <w:t>прямогонный бензин, дизельное топливо, моторные масла для дизельных и (или) карбюраторных (инжекторных) двигателей, и платных услуг, оказываемых казенными учреждениями, в 202</w:t>
      </w:r>
      <w:r w:rsidR="00F3080F">
        <w:rPr>
          <w:sz w:val="28"/>
          <w:szCs w:val="28"/>
        </w:rPr>
        <w:t>2</w:t>
      </w:r>
      <w:r w:rsidR="009A5E4A">
        <w:rPr>
          <w:sz w:val="28"/>
          <w:szCs w:val="28"/>
        </w:rPr>
        <w:t xml:space="preserve"> году – </w:t>
      </w:r>
      <w:r w:rsidR="00F3080F">
        <w:rPr>
          <w:sz w:val="28"/>
          <w:szCs w:val="28"/>
        </w:rPr>
        <w:t>3</w:t>
      </w:r>
      <w:r w:rsidR="009A5E4A">
        <w:rPr>
          <w:sz w:val="28"/>
          <w:szCs w:val="28"/>
        </w:rPr>
        <w:t>% собственных доходов без учета поступлений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и платных услуг, ока</w:t>
      </w:r>
      <w:r w:rsidR="00160240">
        <w:rPr>
          <w:sz w:val="28"/>
          <w:szCs w:val="28"/>
        </w:rPr>
        <w:t xml:space="preserve">зываемых казенными учреждениями, что соответствует п.3 ст.19 </w:t>
      </w:r>
      <w:r w:rsidR="00676F49">
        <w:rPr>
          <w:sz w:val="28"/>
          <w:szCs w:val="28"/>
        </w:rPr>
        <w:t>З</w:t>
      </w:r>
      <w:r w:rsidR="00160240">
        <w:rPr>
          <w:sz w:val="28"/>
          <w:szCs w:val="28"/>
        </w:rPr>
        <w:t>акон</w:t>
      </w:r>
      <w:r w:rsidR="00676F49">
        <w:rPr>
          <w:sz w:val="28"/>
          <w:szCs w:val="28"/>
        </w:rPr>
        <w:t>а</w:t>
      </w:r>
      <w:r w:rsidR="00160240">
        <w:rPr>
          <w:sz w:val="28"/>
          <w:szCs w:val="28"/>
        </w:rPr>
        <w:t xml:space="preserve">  ВО</w:t>
      </w:r>
      <w:proofErr w:type="gramEnd"/>
      <w:r w:rsidR="00160240">
        <w:rPr>
          <w:sz w:val="28"/>
          <w:szCs w:val="28"/>
        </w:rPr>
        <w:t xml:space="preserve"> «</w:t>
      </w:r>
      <w:r w:rsidR="00160240">
        <w:t xml:space="preserve">О </w:t>
      </w:r>
      <w:r w:rsidR="00160240" w:rsidRPr="00160240">
        <w:rPr>
          <w:sz w:val="28"/>
          <w:szCs w:val="28"/>
        </w:rPr>
        <w:t xml:space="preserve">межбюджетных отношениях органов государственной власти и органов местного самоуправления в </w:t>
      </w:r>
      <w:r w:rsidR="00160240">
        <w:rPr>
          <w:sz w:val="28"/>
          <w:szCs w:val="28"/>
        </w:rPr>
        <w:t>В</w:t>
      </w:r>
      <w:r w:rsidR="00160240" w:rsidRPr="00160240">
        <w:rPr>
          <w:sz w:val="28"/>
          <w:szCs w:val="28"/>
        </w:rPr>
        <w:t>оронежской области</w:t>
      </w:r>
      <w:r w:rsidR="00160240">
        <w:t>»</w:t>
      </w:r>
      <w:r w:rsidR="00160240">
        <w:rPr>
          <w:sz w:val="28"/>
          <w:szCs w:val="28"/>
        </w:rPr>
        <w:t xml:space="preserve"> от 17.11.2005г. №68-ОЗ.  </w:t>
      </w:r>
      <w:r w:rsidR="009A5E4A">
        <w:rPr>
          <w:sz w:val="28"/>
          <w:szCs w:val="28"/>
        </w:rPr>
        <w:t xml:space="preserve"> </w:t>
      </w:r>
      <w:r w:rsidR="00295B72">
        <w:rPr>
          <w:sz w:val="28"/>
          <w:szCs w:val="28"/>
        </w:rPr>
        <w:t xml:space="preserve">Размер дотаций на выравнивание бюджетной обеспеченности поселений, определен в соответствии с </w:t>
      </w:r>
      <w:hyperlink r:id="rId9" w:history="1">
        <w:r w:rsidR="00295B72" w:rsidRPr="00295B72">
          <w:rPr>
            <w:sz w:val="28"/>
            <w:szCs w:val="28"/>
          </w:rPr>
          <w:t>Методикой</w:t>
        </w:r>
      </w:hyperlink>
      <w:r w:rsidR="00295B72">
        <w:rPr>
          <w:sz w:val="28"/>
          <w:szCs w:val="28"/>
        </w:rPr>
        <w:t xml:space="preserve"> расчета дотаций на выравнивание бюджетной обеспеченности поселений из бюджета муниципального района. В разделе «социальная политика» по сравнению с 201</w:t>
      </w:r>
      <w:r w:rsidR="00F3080F">
        <w:rPr>
          <w:sz w:val="28"/>
          <w:szCs w:val="28"/>
        </w:rPr>
        <w:t>9</w:t>
      </w:r>
      <w:r w:rsidR="00295B72">
        <w:rPr>
          <w:sz w:val="28"/>
          <w:szCs w:val="28"/>
        </w:rPr>
        <w:t xml:space="preserve"> годом </w:t>
      </w:r>
      <w:r w:rsidR="00295B72" w:rsidRPr="00B61EF1">
        <w:rPr>
          <w:sz w:val="28"/>
          <w:szCs w:val="28"/>
        </w:rPr>
        <w:t xml:space="preserve">прослеживается </w:t>
      </w:r>
      <w:r w:rsidR="00160240" w:rsidRPr="00B61EF1">
        <w:rPr>
          <w:sz w:val="28"/>
          <w:szCs w:val="28"/>
        </w:rPr>
        <w:t>увеличение</w:t>
      </w:r>
      <w:r w:rsidR="00295B72" w:rsidRPr="00B61EF1">
        <w:rPr>
          <w:sz w:val="28"/>
          <w:szCs w:val="28"/>
        </w:rPr>
        <w:t xml:space="preserve"> расходов</w:t>
      </w:r>
      <w:r w:rsidR="00295B72">
        <w:rPr>
          <w:sz w:val="28"/>
          <w:szCs w:val="28"/>
        </w:rPr>
        <w:t>.</w:t>
      </w:r>
      <w:r w:rsidR="005E7508">
        <w:rPr>
          <w:sz w:val="28"/>
          <w:szCs w:val="28"/>
        </w:rPr>
        <w:t xml:space="preserve"> Динамика расходов по данному направлению представлена в виде диаграммы.</w:t>
      </w:r>
    </w:p>
    <w:p w:rsidR="005E7508" w:rsidRDefault="005E7508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508" w:rsidRDefault="005E7508" w:rsidP="006C1AB9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48425" cy="32004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5B72" w:rsidRDefault="00295B72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E4A" w:rsidRDefault="009A5E4A" w:rsidP="009A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E4A" w:rsidRDefault="009A5E4A" w:rsidP="009A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218C" w:rsidRDefault="0010218C" w:rsidP="00102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B88" w:rsidRDefault="006C1AB9" w:rsidP="00DD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«общегосударственные </w:t>
      </w:r>
      <w:r w:rsidR="00393442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» представлены расходами на содержание 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Репьевского муниципального района, обеспечение деятельности органов местного самоуправления, обеспечение деятельности финансовых органов, создание резервных фондов, другие </w:t>
      </w:r>
      <w:r w:rsidR="00393442">
        <w:rPr>
          <w:sz w:val="28"/>
          <w:szCs w:val="28"/>
        </w:rPr>
        <w:t>общегосударственные вопросы, а также судебная система</w:t>
      </w:r>
      <w:r>
        <w:rPr>
          <w:sz w:val="28"/>
          <w:szCs w:val="28"/>
        </w:rPr>
        <w:t>.</w:t>
      </w:r>
      <w:r w:rsidR="000E715D">
        <w:rPr>
          <w:sz w:val="28"/>
          <w:szCs w:val="28"/>
        </w:rPr>
        <w:t xml:space="preserve"> </w:t>
      </w:r>
      <w:r w:rsidR="000E715D" w:rsidRPr="00944D2F">
        <w:rPr>
          <w:sz w:val="28"/>
          <w:szCs w:val="28"/>
        </w:rPr>
        <w:t>Структур</w:t>
      </w:r>
      <w:r w:rsidR="000E715D">
        <w:rPr>
          <w:sz w:val="28"/>
          <w:szCs w:val="28"/>
        </w:rPr>
        <w:t>а раздела «общегосударственные вопросы» представлена в диаграмме</w:t>
      </w:r>
    </w:p>
    <w:p w:rsidR="000E715D" w:rsidRDefault="000E715D" w:rsidP="00DD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0351" w:rsidRDefault="00CC0351" w:rsidP="00CC0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подраздела «другие общегосударственные вопросы» входят расходы по содержанию МКУ «Управление делами». Расходные обязательства определены постановлением администрации Репьевского муниципального района от 15.01.2014 года № 5. </w:t>
      </w:r>
      <w:r w:rsidR="00944D2F">
        <w:rPr>
          <w:sz w:val="28"/>
          <w:szCs w:val="28"/>
        </w:rPr>
        <w:t>Также следует отметить, что р</w:t>
      </w:r>
      <w:r>
        <w:rPr>
          <w:sz w:val="28"/>
          <w:szCs w:val="28"/>
        </w:rPr>
        <w:t>асходная часть сформирована в режиме оптимизации, что предполагает снижение финансовой нагрузки по дополнительным расходам в отношении муниципального долга, первоочередных расходов.</w:t>
      </w:r>
      <w:r w:rsidR="009902C8">
        <w:rPr>
          <w:sz w:val="28"/>
          <w:szCs w:val="28"/>
        </w:rPr>
        <w:t xml:space="preserve"> В 2020 году отсутствуют</w:t>
      </w:r>
      <w:r w:rsidR="00944D2F">
        <w:rPr>
          <w:sz w:val="28"/>
          <w:szCs w:val="28"/>
        </w:rPr>
        <w:t xml:space="preserve"> расходы по подразделу «Судебная система»</w:t>
      </w:r>
      <w:r w:rsidR="00315A9D">
        <w:rPr>
          <w:sz w:val="28"/>
          <w:szCs w:val="28"/>
        </w:rPr>
        <w:t xml:space="preserve">. По </w:t>
      </w:r>
      <w:r w:rsidR="009902C8">
        <w:rPr>
          <w:sz w:val="28"/>
          <w:szCs w:val="28"/>
        </w:rPr>
        <w:t>данному подразделу в 2019 году были предусмотрены</w:t>
      </w:r>
      <w:r w:rsidR="00315A9D">
        <w:rPr>
          <w:sz w:val="28"/>
          <w:szCs w:val="28"/>
        </w:rPr>
        <w:t xml:space="preserve"> </w:t>
      </w:r>
      <w:r w:rsidR="00315A9D">
        <w:rPr>
          <w:sz w:val="28"/>
          <w:szCs w:val="28"/>
        </w:rPr>
        <w:lastRenderedPageBreak/>
        <w:t xml:space="preserve">расходы </w:t>
      </w:r>
      <w:proofErr w:type="gramStart"/>
      <w:r w:rsidR="00315A9D">
        <w:rPr>
          <w:sz w:val="28"/>
          <w:szCs w:val="28"/>
        </w:rPr>
        <w:t xml:space="preserve">на осуществление полномочий по составлению списков кандидатов в присяжные заседатели за счет </w:t>
      </w:r>
      <w:r w:rsidR="00786C9D">
        <w:rPr>
          <w:sz w:val="28"/>
          <w:szCs w:val="28"/>
        </w:rPr>
        <w:t>субвенций из областного бюджета</w:t>
      </w:r>
      <w:proofErr w:type="gramEnd"/>
      <w:r w:rsidR="00786C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7651" w:rsidRDefault="00835423" w:rsidP="00CC0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</w:t>
      </w:r>
      <w:r w:rsidR="00F1709F">
        <w:rPr>
          <w:sz w:val="28"/>
          <w:szCs w:val="28"/>
        </w:rPr>
        <w:t>жет Репьевского муниципального райо</w:t>
      </w:r>
      <w:r w:rsidR="009902C8">
        <w:rPr>
          <w:sz w:val="28"/>
          <w:szCs w:val="28"/>
        </w:rPr>
        <w:t>на на 2020</w:t>
      </w:r>
      <w:r w:rsidR="00F1709F">
        <w:rPr>
          <w:sz w:val="28"/>
          <w:szCs w:val="28"/>
        </w:rPr>
        <w:t xml:space="preserve"> год</w:t>
      </w:r>
      <w:r w:rsidR="00CC0351">
        <w:rPr>
          <w:sz w:val="28"/>
          <w:szCs w:val="28"/>
        </w:rPr>
        <w:t xml:space="preserve"> и плановый период 20</w:t>
      </w:r>
      <w:r w:rsidR="009902C8">
        <w:rPr>
          <w:sz w:val="28"/>
          <w:szCs w:val="28"/>
        </w:rPr>
        <w:t>21</w:t>
      </w:r>
      <w:r w:rsidR="00CC0351">
        <w:rPr>
          <w:sz w:val="28"/>
          <w:szCs w:val="28"/>
        </w:rPr>
        <w:t>-202</w:t>
      </w:r>
      <w:r w:rsidR="009902C8">
        <w:rPr>
          <w:sz w:val="28"/>
          <w:szCs w:val="28"/>
        </w:rPr>
        <w:t>2</w:t>
      </w:r>
      <w:r w:rsidR="00CC0351">
        <w:rPr>
          <w:sz w:val="28"/>
          <w:szCs w:val="28"/>
        </w:rPr>
        <w:t xml:space="preserve"> гг.</w:t>
      </w:r>
      <w:r w:rsidR="00F1709F">
        <w:rPr>
          <w:sz w:val="28"/>
          <w:szCs w:val="28"/>
        </w:rPr>
        <w:t>, является социально-ориен</w:t>
      </w:r>
      <w:r w:rsidR="00F028F7">
        <w:rPr>
          <w:sz w:val="28"/>
          <w:szCs w:val="28"/>
        </w:rPr>
        <w:t xml:space="preserve">тированным. </w:t>
      </w:r>
    </w:p>
    <w:p w:rsidR="0047585E" w:rsidRDefault="0047585E" w:rsidP="006748AD">
      <w:pPr>
        <w:jc w:val="both"/>
        <w:rPr>
          <w:sz w:val="28"/>
          <w:szCs w:val="28"/>
        </w:rPr>
      </w:pPr>
    </w:p>
    <w:p w:rsidR="00067574" w:rsidRDefault="0047585E" w:rsidP="0047585E">
      <w:pPr>
        <w:ind w:firstLine="708"/>
        <w:jc w:val="both"/>
        <w:rPr>
          <w:sz w:val="28"/>
          <w:szCs w:val="28"/>
        </w:rPr>
      </w:pPr>
      <w:r w:rsidRPr="00162394">
        <w:rPr>
          <w:sz w:val="28"/>
          <w:szCs w:val="28"/>
        </w:rPr>
        <w:t>Верхний</w:t>
      </w:r>
      <w:r w:rsidRPr="00F854E7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 xml:space="preserve"> муниципаль</w:t>
      </w:r>
      <w:r w:rsidR="00C66042">
        <w:rPr>
          <w:sz w:val="28"/>
          <w:szCs w:val="28"/>
        </w:rPr>
        <w:t>ного долга бюджета на 01.01.20</w:t>
      </w:r>
      <w:r w:rsidR="00786C9D">
        <w:rPr>
          <w:sz w:val="28"/>
          <w:szCs w:val="28"/>
        </w:rPr>
        <w:t>21</w:t>
      </w:r>
      <w:r>
        <w:rPr>
          <w:sz w:val="28"/>
          <w:szCs w:val="28"/>
        </w:rPr>
        <w:t xml:space="preserve">г. установлен в сумме </w:t>
      </w:r>
      <w:r w:rsidR="00315A9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41A60">
        <w:rPr>
          <w:sz w:val="28"/>
          <w:szCs w:val="28"/>
        </w:rPr>
        <w:t>, на 01.01.20</w:t>
      </w:r>
      <w:r w:rsidR="00162394">
        <w:rPr>
          <w:sz w:val="28"/>
          <w:szCs w:val="28"/>
        </w:rPr>
        <w:t>2</w:t>
      </w:r>
      <w:r w:rsidR="00786C9D">
        <w:rPr>
          <w:sz w:val="28"/>
          <w:szCs w:val="28"/>
        </w:rPr>
        <w:t>2</w:t>
      </w:r>
      <w:r w:rsidR="00162394">
        <w:rPr>
          <w:sz w:val="28"/>
          <w:szCs w:val="28"/>
        </w:rPr>
        <w:t xml:space="preserve"> </w:t>
      </w:r>
      <w:r w:rsidR="00A41A60">
        <w:rPr>
          <w:sz w:val="28"/>
          <w:szCs w:val="28"/>
        </w:rPr>
        <w:t xml:space="preserve">года  - </w:t>
      </w:r>
      <w:r w:rsidR="00162394">
        <w:rPr>
          <w:sz w:val="28"/>
          <w:szCs w:val="28"/>
        </w:rPr>
        <w:t>0</w:t>
      </w:r>
      <w:r w:rsidR="00A41A60">
        <w:rPr>
          <w:sz w:val="28"/>
          <w:szCs w:val="28"/>
        </w:rPr>
        <w:t xml:space="preserve"> тыс. рублей, на 01.01.202</w:t>
      </w:r>
      <w:r w:rsidR="00315A9D">
        <w:rPr>
          <w:sz w:val="28"/>
          <w:szCs w:val="28"/>
        </w:rPr>
        <w:t>2</w:t>
      </w:r>
      <w:r w:rsidR="00A41A60">
        <w:rPr>
          <w:sz w:val="28"/>
          <w:szCs w:val="28"/>
        </w:rPr>
        <w:t xml:space="preserve"> года – </w:t>
      </w:r>
      <w:r w:rsidR="00162394">
        <w:rPr>
          <w:sz w:val="28"/>
          <w:szCs w:val="28"/>
        </w:rPr>
        <w:t>0</w:t>
      </w:r>
      <w:r w:rsidR="00A41A60">
        <w:rPr>
          <w:sz w:val="28"/>
          <w:szCs w:val="28"/>
        </w:rPr>
        <w:t xml:space="preserve"> тыс. рублей</w:t>
      </w:r>
      <w:r w:rsidR="00C66042">
        <w:rPr>
          <w:sz w:val="28"/>
          <w:szCs w:val="28"/>
        </w:rPr>
        <w:t xml:space="preserve">. Данный показатель, является расчетным,  </w:t>
      </w:r>
      <w:r>
        <w:rPr>
          <w:sz w:val="28"/>
          <w:szCs w:val="28"/>
        </w:rPr>
        <w:t xml:space="preserve"> что соответствует п.6, ст.107 БК РФ</w:t>
      </w:r>
      <w:r w:rsidR="00C66042">
        <w:rPr>
          <w:sz w:val="28"/>
          <w:szCs w:val="28"/>
        </w:rPr>
        <w:t>.</w:t>
      </w:r>
      <w:r w:rsidR="00315A9D">
        <w:rPr>
          <w:sz w:val="28"/>
          <w:szCs w:val="28"/>
        </w:rPr>
        <w:t xml:space="preserve"> </w:t>
      </w:r>
      <w:r w:rsidR="00C66042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расходов на обслуживание муниципального долга </w:t>
      </w:r>
      <w:r w:rsidR="00A41A60">
        <w:rPr>
          <w:sz w:val="28"/>
          <w:szCs w:val="28"/>
        </w:rPr>
        <w:t>на 20</w:t>
      </w:r>
      <w:r w:rsidR="00786C9D">
        <w:rPr>
          <w:sz w:val="28"/>
          <w:szCs w:val="28"/>
        </w:rPr>
        <w:t>20</w:t>
      </w:r>
      <w:r w:rsidR="00A41A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составит </w:t>
      </w:r>
      <w:r w:rsidR="00786C9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41A60">
        <w:rPr>
          <w:sz w:val="28"/>
          <w:szCs w:val="28"/>
        </w:rPr>
        <w:t>, на 20</w:t>
      </w:r>
      <w:r w:rsidR="00786C9D">
        <w:rPr>
          <w:sz w:val="28"/>
          <w:szCs w:val="28"/>
        </w:rPr>
        <w:t>21</w:t>
      </w:r>
      <w:r w:rsidR="00A41A60">
        <w:rPr>
          <w:sz w:val="28"/>
          <w:szCs w:val="28"/>
        </w:rPr>
        <w:t xml:space="preserve"> год - 0тыс. рублей, на 20</w:t>
      </w:r>
      <w:r w:rsidR="007B31D9">
        <w:rPr>
          <w:sz w:val="28"/>
          <w:szCs w:val="28"/>
        </w:rPr>
        <w:t>2</w:t>
      </w:r>
      <w:r w:rsidR="00786C9D">
        <w:rPr>
          <w:sz w:val="28"/>
          <w:szCs w:val="28"/>
        </w:rPr>
        <w:t>2</w:t>
      </w:r>
      <w:r w:rsidR="00A41A60">
        <w:rPr>
          <w:sz w:val="28"/>
          <w:szCs w:val="28"/>
        </w:rPr>
        <w:t xml:space="preserve"> год – </w:t>
      </w:r>
      <w:r w:rsidR="007B31D9">
        <w:rPr>
          <w:sz w:val="28"/>
          <w:szCs w:val="28"/>
        </w:rPr>
        <w:t>0</w:t>
      </w:r>
      <w:r w:rsidR="00A41A60">
        <w:rPr>
          <w:sz w:val="28"/>
          <w:szCs w:val="28"/>
        </w:rPr>
        <w:t xml:space="preserve"> тыс. рублей. </w:t>
      </w:r>
    </w:p>
    <w:p w:rsidR="00A41A60" w:rsidRDefault="00A41A60" w:rsidP="0047585E">
      <w:pPr>
        <w:ind w:firstLine="708"/>
        <w:jc w:val="both"/>
        <w:rPr>
          <w:sz w:val="28"/>
          <w:szCs w:val="28"/>
        </w:rPr>
      </w:pPr>
    </w:p>
    <w:p w:rsidR="00A577BF" w:rsidRDefault="00A577BF" w:rsidP="0047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муниципального долга установлен </w:t>
      </w:r>
      <w:r w:rsidR="00786C9D">
        <w:rPr>
          <w:sz w:val="28"/>
          <w:szCs w:val="28"/>
        </w:rPr>
        <w:t>на 2020</w:t>
      </w:r>
      <w:r w:rsidR="00252FA1">
        <w:rPr>
          <w:sz w:val="28"/>
          <w:szCs w:val="28"/>
        </w:rPr>
        <w:t xml:space="preserve"> год </w:t>
      </w:r>
      <w:r w:rsidR="00786C9D">
        <w:rPr>
          <w:sz w:val="28"/>
          <w:szCs w:val="28"/>
        </w:rPr>
        <w:t>–</w:t>
      </w:r>
      <w:r w:rsidR="00252FA1">
        <w:rPr>
          <w:sz w:val="28"/>
          <w:szCs w:val="28"/>
        </w:rPr>
        <w:t xml:space="preserve"> </w:t>
      </w:r>
      <w:r w:rsidR="00786C9D">
        <w:rPr>
          <w:sz w:val="28"/>
          <w:szCs w:val="28"/>
        </w:rPr>
        <w:t>32197,5</w:t>
      </w:r>
      <w:r>
        <w:rPr>
          <w:sz w:val="28"/>
          <w:szCs w:val="28"/>
        </w:rPr>
        <w:t xml:space="preserve"> тыс. рублей</w:t>
      </w:r>
      <w:r w:rsidR="00252FA1">
        <w:rPr>
          <w:sz w:val="28"/>
          <w:szCs w:val="28"/>
        </w:rPr>
        <w:t>, на 20</w:t>
      </w:r>
      <w:r w:rsidR="00786C9D">
        <w:rPr>
          <w:sz w:val="28"/>
          <w:szCs w:val="28"/>
        </w:rPr>
        <w:t>21</w:t>
      </w:r>
      <w:r w:rsidR="00252FA1">
        <w:rPr>
          <w:sz w:val="28"/>
          <w:szCs w:val="28"/>
        </w:rPr>
        <w:t xml:space="preserve"> год – </w:t>
      </w:r>
      <w:r w:rsidR="00786C9D">
        <w:rPr>
          <w:sz w:val="28"/>
          <w:szCs w:val="28"/>
        </w:rPr>
        <w:t>34119,5</w:t>
      </w:r>
      <w:r w:rsidR="00252FA1">
        <w:rPr>
          <w:sz w:val="28"/>
          <w:szCs w:val="28"/>
        </w:rPr>
        <w:t xml:space="preserve"> тыс. рублей, на 20</w:t>
      </w:r>
      <w:r w:rsidR="007B31D9">
        <w:rPr>
          <w:sz w:val="28"/>
          <w:szCs w:val="28"/>
        </w:rPr>
        <w:t>2</w:t>
      </w:r>
      <w:r w:rsidR="00786C9D">
        <w:rPr>
          <w:sz w:val="28"/>
          <w:szCs w:val="28"/>
        </w:rPr>
        <w:t>2</w:t>
      </w:r>
      <w:r w:rsidR="00252FA1">
        <w:rPr>
          <w:sz w:val="28"/>
          <w:szCs w:val="28"/>
        </w:rPr>
        <w:t xml:space="preserve"> год – </w:t>
      </w:r>
      <w:r w:rsidR="00786C9D">
        <w:rPr>
          <w:sz w:val="28"/>
          <w:szCs w:val="28"/>
        </w:rPr>
        <w:t>36317</w:t>
      </w:r>
      <w:r w:rsidR="00252F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Размер предельного объема муниципального долга соответствует установленной норме п.3, ст.107 БК РФ.</w:t>
      </w:r>
    </w:p>
    <w:p w:rsidR="0047585E" w:rsidRDefault="0047585E" w:rsidP="006748AD">
      <w:pPr>
        <w:jc w:val="both"/>
        <w:rPr>
          <w:sz w:val="28"/>
          <w:szCs w:val="28"/>
        </w:rPr>
      </w:pPr>
    </w:p>
    <w:p w:rsidR="00896AFE" w:rsidRDefault="00067574" w:rsidP="0003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DFD">
        <w:rPr>
          <w:sz w:val="28"/>
          <w:szCs w:val="28"/>
        </w:rPr>
        <w:t xml:space="preserve">В составе расходов на общегосударственные вопросы включены расходы на формирование резервного фонда в сумме </w:t>
      </w:r>
      <w:r w:rsidR="00786C9D">
        <w:rPr>
          <w:sz w:val="28"/>
          <w:szCs w:val="28"/>
        </w:rPr>
        <w:t>10100</w:t>
      </w:r>
      <w:r w:rsidRPr="00037DFD">
        <w:rPr>
          <w:sz w:val="28"/>
          <w:szCs w:val="28"/>
        </w:rPr>
        <w:t>тыс. рублей или</w:t>
      </w:r>
      <w:r w:rsidR="00786C9D">
        <w:rPr>
          <w:sz w:val="28"/>
          <w:szCs w:val="28"/>
        </w:rPr>
        <w:t xml:space="preserve"> 2,8</w:t>
      </w:r>
      <w:r w:rsidRPr="00037DFD">
        <w:rPr>
          <w:sz w:val="28"/>
          <w:szCs w:val="28"/>
        </w:rPr>
        <w:t xml:space="preserve">% общего объема расходов бюджета района, что соответствует </w:t>
      </w:r>
      <w:r w:rsidR="008B6336" w:rsidRPr="00037DFD">
        <w:rPr>
          <w:sz w:val="28"/>
          <w:szCs w:val="28"/>
        </w:rPr>
        <w:t>п.3, ст.81 БК РФ. Расходование средств резервного фонда предусмотрено Положением о порядке расходования средств резервного фонда администрации Репьевского муниципального района» №1</w:t>
      </w:r>
      <w:r w:rsidR="00ED0B83" w:rsidRPr="00037DFD">
        <w:rPr>
          <w:sz w:val="28"/>
          <w:szCs w:val="28"/>
        </w:rPr>
        <w:t>56</w:t>
      </w:r>
      <w:r w:rsidR="008B6336" w:rsidRPr="00037DFD">
        <w:rPr>
          <w:sz w:val="28"/>
          <w:szCs w:val="28"/>
        </w:rPr>
        <w:t xml:space="preserve"> от </w:t>
      </w:r>
      <w:r w:rsidR="00ED0B83" w:rsidRPr="00037DFD">
        <w:rPr>
          <w:sz w:val="28"/>
          <w:szCs w:val="28"/>
        </w:rPr>
        <w:t>25</w:t>
      </w:r>
      <w:r w:rsidR="008B6336" w:rsidRPr="00037DFD">
        <w:rPr>
          <w:sz w:val="28"/>
          <w:szCs w:val="28"/>
        </w:rPr>
        <w:t>.0</w:t>
      </w:r>
      <w:r w:rsidR="00ED0B83" w:rsidRPr="00037DFD">
        <w:rPr>
          <w:sz w:val="28"/>
          <w:szCs w:val="28"/>
        </w:rPr>
        <w:t>5</w:t>
      </w:r>
      <w:r w:rsidR="008B6336" w:rsidRPr="00037DFD">
        <w:rPr>
          <w:sz w:val="28"/>
          <w:szCs w:val="28"/>
        </w:rPr>
        <w:t>.20</w:t>
      </w:r>
      <w:r w:rsidR="00ED0B83" w:rsidRPr="00037DFD">
        <w:rPr>
          <w:sz w:val="28"/>
          <w:szCs w:val="28"/>
        </w:rPr>
        <w:t>12</w:t>
      </w:r>
      <w:r w:rsidR="008B6336" w:rsidRPr="00037DFD">
        <w:rPr>
          <w:sz w:val="28"/>
          <w:szCs w:val="28"/>
        </w:rPr>
        <w:t>г.</w:t>
      </w:r>
    </w:p>
    <w:p w:rsidR="00896AFE" w:rsidRDefault="00C66042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91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п.3 ст.184.1 БК РФ, утвержден общий объем бюджетных ассигнований на исполнение публичных нормативных обязательств </w:t>
      </w:r>
      <w:r w:rsidR="00EA25BB">
        <w:rPr>
          <w:sz w:val="28"/>
          <w:szCs w:val="28"/>
        </w:rPr>
        <w:t>на 2020</w:t>
      </w:r>
      <w:r w:rsidR="007E7E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EA25BB">
        <w:rPr>
          <w:sz w:val="28"/>
          <w:szCs w:val="28"/>
        </w:rPr>
        <w:t>14305</w:t>
      </w:r>
      <w:r w:rsidR="007C465B">
        <w:rPr>
          <w:sz w:val="28"/>
          <w:szCs w:val="28"/>
        </w:rPr>
        <w:t xml:space="preserve"> тыс. рублей</w:t>
      </w:r>
      <w:r w:rsidR="007E7EAD">
        <w:rPr>
          <w:sz w:val="28"/>
          <w:szCs w:val="28"/>
        </w:rPr>
        <w:t>, на 20</w:t>
      </w:r>
      <w:r w:rsidR="00EA25BB">
        <w:rPr>
          <w:sz w:val="28"/>
          <w:szCs w:val="28"/>
        </w:rPr>
        <w:t>21</w:t>
      </w:r>
      <w:r w:rsidR="007E7EAD">
        <w:rPr>
          <w:sz w:val="28"/>
          <w:szCs w:val="28"/>
        </w:rPr>
        <w:t xml:space="preserve"> год в сумме </w:t>
      </w:r>
      <w:r w:rsidR="00EA25BB">
        <w:rPr>
          <w:sz w:val="28"/>
          <w:szCs w:val="28"/>
        </w:rPr>
        <w:t>13532,5</w:t>
      </w:r>
      <w:r w:rsidR="007E7EAD">
        <w:rPr>
          <w:sz w:val="28"/>
          <w:szCs w:val="28"/>
        </w:rPr>
        <w:t xml:space="preserve"> тыс. рублей, на 20</w:t>
      </w:r>
      <w:r w:rsidR="009D191D">
        <w:rPr>
          <w:sz w:val="28"/>
          <w:szCs w:val="28"/>
        </w:rPr>
        <w:t>2</w:t>
      </w:r>
      <w:r w:rsidR="00EA25BB">
        <w:rPr>
          <w:sz w:val="28"/>
          <w:szCs w:val="28"/>
        </w:rPr>
        <w:t>2</w:t>
      </w:r>
      <w:r w:rsidR="007E7EAD">
        <w:rPr>
          <w:sz w:val="28"/>
          <w:szCs w:val="28"/>
        </w:rPr>
        <w:t xml:space="preserve"> год в сумме </w:t>
      </w:r>
      <w:r w:rsidR="00EA25BB">
        <w:rPr>
          <w:sz w:val="28"/>
          <w:szCs w:val="28"/>
        </w:rPr>
        <w:t>14773,5</w:t>
      </w:r>
      <w:r w:rsidR="007E7EAD">
        <w:rPr>
          <w:sz w:val="28"/>
          <w:szCs w:val="28"/>
        </w:rPr>
        <w:t xml:space="preserve"> тыс. рублей.</w:t>
      </w:r>
    </w:p>
    <w:p w:rsidR="00896AFE" w:rsidRDefault="00896AFE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01.01.2017 года на основании Закона Воронежской области от 01.06.2016. №81-ОЗ полномочия по созданию дорожного фонда переданы на уровень муниципальн</w:t>
      </w:r>
      <w:r w:rsidR="00EA25BB">
        <w:rPr>
          <w:sz w:val="28"/>
          <w:szCs w:val="28"/>
        </w:rPr>
        <w:t>ого района. Дорожный фонд на 2020</w:t>
      </w:r>
      <w:r>
        <w:rPr>
          <w:sz w:val="28"/>
          <w:szCs w:val="28"/>
        </w:rPr>
        <w:t xml:space="preserve"> год создан в размере </w:t>
      </w:r>
      <w:r w:rsidR="00EA25BB">
        <w:rPr>
          <w:sz w:val="28"/>
          <w:szCs w:val="28"/>
        </w:rPr>
        <w:t>42245,3</w:t>
      </w:r>
      <w:r>
        <w:rPr>
          <w:sz w:val="28"/>
          <w:szCs w:val="28"/>
        </w:rPr>
        <w:t xml:space="preserve"> тыс. рублей, что соответствует сумме поступлений от уплаты акцизов на дизельное топливо, моторные масла, автомобильный бензин. В 20</w:t>
      </w:r>
      <w:r w:rsidR="00EA25BB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D191D">
        <w:rPr>
          <w:sz w:val="28"/>
          <w:szCs w:val="28"/>
        </w:rPr>
        <w:t>2</w:t>
      </w:r>
      <w:r w:rsidR="00EA25BB">
        <w:rPr>
          <w:sz w:val="28"/>
          <w:szCs w:val="28"/>
        </w:rPr>
        <w:t>2</w:t>
      </w:r>
      <w:r>
        <w:rPr>
          <w:sz w:val="28"/>
          <w:szCs w:val="28"/>
        </w:rPr>
        <w:t>гг. дорожный фонд планируется</w:t>
      </w:r>
      <w:r w:rsidR="003F1367">
        <w:rPr>
          <w:sz w:val="28"/>
          <w:szCs w:val="28"/>
        </w:rPr>
        <w:t xml:space="preserve"> в сумме </w:t>
      </w:r>
      <w:r w:rsidR="00EA25BB">
        <w:rPr>
          <w:sz w:val="28"/>
          <w:szCs w:val="28"/>
        </w:rPr>
        <w:t>26753,9</w:t>
      </w:r>
      <w:r w:rsidR="003F1367">
        <w:rPr>
          <w:sz w:val="28"/>
          <w:szCs w:val="28"/>
        </w:rPr>
        <w:t xml:space="preserve"> тыс. рублей и </w:t>
      </w:r>
      <w:r w:rsidR="00EA25BB">
        <w:rPr>
          <w:sz w:val="28"/>
          <w:szCs w:val="28"/>
        </w:rPr>
        <w:t>56959,3</w:t>
      </w:r>
      <w:r w:rsidR="003F1367">
        <w:rPr>
          <w:sz w:val="28"/>
          <w:szCs w:val="28"/>
        </w:rPr>
        <w:t xml:space="preserve"> тыс. рублей, что также соответствуетсуммам поступлений от уплаты акцизов на дизельное топливо, моторные масла, автомобильный бензин. Фор</w:t>
      </w:r>
      <w:r w:rsidR="00EA25BB">
        <w:rPr>
          <w:sz w:val="28"/>
          <w:szCs w:val="28"/>
        </w:rPr>
        <w:t>мирование дорожного фонда на 2020</w:t>
      </w:r>
      <w:r w:rsidR="003F1367">
        <w:rPr>
          <w:sz w:val="28"/>
          <w:szCs w:val="28"/>
        </w:rPr>
        <w:t xml:space="preserve"> год и плановый период 20</w:t>
      </w:r>
      <w:r w:rsidR="00EA25BB">
        <w:rPr>
          <w:sz w:val="28"/>
          <w:szCs w:val="28"/>
        </w:rPr>
        <w:t>21</w:t>
      </w:r>
      <w:r w:rsidR="003F1367">
        <w:rPr>
          <w:sz w:val="28"/>
          <w:szCs w:val="28"/>
        </w:rPr>
        <w:t>-20</w:t>
      </w:r>
      <w:r w:rsidR="009D191D">
        <w:rPr>
          <w:sz w:val="28"/>
          <w:szCs w:val="28"/>
        </w:rPr>
        <w:t>2</w:t>
      </w:r>
      <w:r w:rsidR="00EA25BB">
        <w:rPr>
          <w:sz w:val="28"/>
          <w:szCs w:val="28"/>
        </w:rPr>
        <w:t>2</w:t>
      </w:r>
      <w:r w:rsidR="009D191D">
        <w:rPr>
          <w:sz w:val="28"/>
          <w:szCs w:val="28"/>
        </w:rPr>
        <w:t xml:space="preserve"> </w:t>
      </w:r>
      <w:r w:rsidR="003F1367">
        <w:rPr>
          <w:sz w:val="28"/>
          <w:szCs w:val="28"/>
        </w:rPr>
        <w:t>гг. соответствует п. 5, ст.179.4 БК РФ.</w:t>
      </w:r>
    </w:p>
    <w:p w:rsidR="00421D78" w:rsidRDefault="00067574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E3C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целевые программы являются одним из важнейших инструментов реализации целей и приоритетных направлений социально-экономического развития района. </w:t>
      </w:r>
      <w:r w:rsidR="00345741">
        <w:rPr>
          <w:sz w:val="28"/>
          <w:szCs w:val="28"/>
        </w:rPr>
        <w:t>В соответствии со ст. 179 Постановлением администрации Репьевского муниципального района от 30.10.2013г. №297, утвержден Порядок разработки, реализации и оценки эффективности муниципальных программ Репьевского муниципального района. Также распоряжением администрации Репьевского муниципального района от 2</w:t>
      </w:r>
      <w:r w:rsidR="0082293C">
        <w:rPr>
          <w:sz w:val="28"/>
          <w:szCs w:val="28"/>
        </w:rPr>
        <w:t>4</w:t>
      </w:r>
      <w:r w:rsidR="00345741">
        <w:rPr>
          <w:sz w:val="28"/>
          <w:szCs w:val="28"/>
        </w:rPr>
        <w:t>.</w:t>
      </w:r>
      <w:r w:rsidR="0082293C">
        <w:rPr>
          <w:sz w:val="28"/>
          <w:szCs w:val="28"/>
        </w:rPr>
        <w:t>09</w:t>
      </w:r>
      <w:r w:rsidR="00345741">
        <w:rPr>
          <w:sz w:val="28"/>
          <w:szCs w:val="28"/>
        </w:rPr>
        <w:t>.201</w:t>
      </w:r>
      <w:r w:rsidR="0082293C">
        <w:rPr>
          <w:sz w:val="28"/>
          <w:szCs w:val="28"/>
        </w:rPr>
        <w:t>5</w:t>
      </w:r>
      <w:r w:rsidR="00345741">
        <w:rPr>
          <w:sz w:val="28"/>
          <w:szCs w:val="28"/>
        </w:rPr>
        <w:t>г. №</w:t>
      </w:r>
      <w:r w:rsidR="0082293C">
        <w:rPr>
          <w:sz w:val="28"/>
          <w:szCs w:val="28"/>
        </w:rPr>
        <w:t>180</w:t>
      </w:r>
      <w:r w:rsidR="00345741">
        <w:rPr>
          <w:sz w:val="28"/>
          <w:szCs w:val="28"/>
        </w:rPr>
        <w:t>-р, утвержден Перечень муниципальных программ. В соответствии с приложением №</w:t>
      </w:r>
      <w:r w:rsidR="00AA3FAD">
        <w:rPr>
          <w:sz w:val="28"/>
          <w:szCs w:val="28"/>
        </w:rPr>
        <w:t>8</w:t>
      </w:r>
      <w:r w:rsidR="00044E3C">
        <w:rPr>
          <w:sz w:val="28"/>
          <w:szCs w:val="28"/>
        </w:rPr>
        <w:t>, №</w:t>
      </w:r>
      <w:r w:rsidR="00AA3FAD">
        <w:rPr>
          <w:sz w:val="28"/>
          <w:szCs w:val="28"/>
        </w:rPr>
        <w:t>9</w:t>
      </w:r>
      <w:r w:rsidR="00345741">
        <w:rPr>
          <w:sz w:val="28"/>
          <w:szCs w:val="28"/>
        </w:rPr>
        <w:t xml:space="preserve"> утверждено распределение бюджетных ассигнований по </w:t>
      </w:r>
      <w:r w:rsidR="0082293C">
        <w:rPr>
          <w:sz w:val="28"/>
          <w:szCs w:val="28"/>
        </w:rPr>
        <w:t>целевым статьям (</w:t>
      </w:r>
      <w:r w:rsidR="00345741">
        <w:rPr>
          <w:sz w:val="28"/>
          <w:szCs w:val="28"/>
        </w:rPr>
        <w:t>муниципальным программам</w:t>
      </w:r>
      <w:r w:rsidR="0082293C">
        <w:rPr>
          <w:sz w:val="28"/>
          <w:szCs w:val="28"/>
        </w:rPr>
        <w:t>)</w:t>
      </w:r>
      <w:r w:rsidR="00345741">
        <w:rPr>
          <w:sz w:val="28"/>
          <w:szCs w:val="28"/>
        </w:rPr>
        <w:t>.</w:t>
      </w:r>
      <w:r w:rsidR="00044E3C">
        <w:rPr>
          <w:sz w:val="28"/>
          <w:szCs w:val="28"/>
        </w:rPr>
        <w:t xml:space="preserve"> Показатели бюджета по расходам соответствует показателям финансового обеспечения программных мероприятий.</w:t>
      </w:r>
      <w:r w:rsidR="00EA25BB">
        <w:rPr>
          <w:sz w:val="28"/>
          <w:szCs w:val="28"/>
        </w:rPr>
        <w:t xml:space="preserve"> </w:t>
      </w:r>
      <w:r w:rsidR="00345741">
        <w:rPr>
          <w:sz w:val="28"/>
          <w:szCs w:val="28"/>
        </w:rPr>
        <w:t xml:space="preserve">Ассигнования распределены по </w:t>
      </w:r>
      <w:r w:rsidR="00044E3C">
        <w:rPr>
          <w:sz w:val="28"/>
          <w:szCs w:val="28"/>
        </w:rPr>
        <w:t>двенадцати</w:t>
      </w:r>
      <w:r w:rsidR="00345741">
        <w:rPr>
          <w:sz w:val="28"/>
          <w:szCs w:val="28"/>
        </w:rPr>
        <w:t xml:space="preserve"> муниципальны</w:t>
      </w:r>
      <w:r w:rsidR="00044E3C">
        <w:rPr>
          <w:sz w:val="28"/>
          <w:szCs w:val="28"/>
        </w:rPr>
        <w:t xml:space="preserve">м </w:t>
      </w:r>
      <w:r w:rsidR="00345741">
        <w:rPr>
          <w:sz w:val="28"/>
          <w:szCs w:val="28"/>
        </w:rPr>
        <w:t xml:space="preserve"> программ. При составлении проекта бюджета применялся </w:t>
      </w:r>
      <w:r>
        <w:rPr>
          <w:sz w:val="28"/>
          <w:szCs w:val="28"/>
        </w:rPr>
        <w:lastRenderedPageBreak/>
        <w:t>прогр</w:t>
      </w:r>
      <w:r w:rsidR="00421D78">
        <w:rPr>
          <w:sz w:val="28"/>
          <w:szCs w:val="28"/>
        </w:rPr>
        <w:t>аммно-целево</w:t>
      </w:r>
      <w:r w:rsidR="00EA25BB">
        <w:rPr>
          <w:sz w:val="28"/>
          <w:szCs w:val="28"/>
        </w:rPr>
        <w:t>й метод организации формирования и исполнения бюджета</w:t>
      </w:r>
      <w:r w:rsidR="00421D78">
        <w:rPr>
          <w:sz w:val="28"/>
          <w:szCs w:val="28"/>
        </w:rPr>
        <w:t>. Все вышеперечисленное свидетельствует о соблюдении ст. 179 БК РФ.</w:t>
      </w:r>
    </w:p>
    <w:p w:rsidR="001C3108" w:rsidRDefault="00EA25BB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="001C3108">
        <w:rPr>
          <w:sz w:val="28"/>
          <w:szCs w:val="28"/>
        </w:rPr>
        <w:t xml:space="preserve"> году муниципальные гарантии муниципального района не предоставляются.</w:t>
      </w:r>
      <w:r w:rsidR="000A15D5">
        <w:rPr>
          <w:sz w:val="28"/>
          <w:szCs w:val="28"/>
        </w:rPr>
        <w:t xml:space="preserve"> </w:t>
      </w:r>
    </w:p>
    <w:p w:rsidR="00067574" w:rsidRDefault="00421D78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и содержание представленного проекта бюджета в основном соответствует Бюджетному Кодексу РФ. Документы и материалы, представленные одновременно с проектом бюджета, отвечают перечню определенному ст. 184.1 – 184.2 БК РФ.</w:t>
      </w:r>
    </w:p>
    <w:p w:rsidR="007623F6" w:rsidRDefault="00DB426D" w:rsidP="00D3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Репьевского муниципального района Воронежской области в целом соответствует Бюджетному Кодексу РФ и Положению «О бюджетном процессе в Репьевском муниципальном районе».</w:t>
      </w:r>
      <w:r w:rsidR="00421D78">
        <w:rPr>
          <w:sz w:val="28"/>
          <w:szCs w:val="28"/>
        </w:rPr>
        <w:t xml:space="preserve"> Контрольно-счетная палата Репьевского муниципального района</w:t>
      </w:r>
      <w:r w:rsidR="00D37812">
        <w:rPr>
          <w:sz w:val="28"/>
          <w:szCs w:val="28"/>
        </w:rPr>
        <w:t xml:space="preserve">  не усматривает причин для его отклонения.</w:t>
      </w:r>
    </w:p>
    <w:p w:rsidR="00DC1FB6" w:rsidRDefault="00DC1FB6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DC1FB6" w:rsidRDefault="00DC1FB6" w:rsidP="007623F6">
      <w:pPr>
        <w:rPr>
          <w:sz w:val="28"/>
          <w:szCs w:val="28"/>
        </w:rPr>
      </w:pPr>
    </w:p>
    <w:p w:rsidR="00ED0B83" w:rsidRDefault="00EA25BB" w:rsidP="007623F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D0B83">
        <w:rPr>
          <w:sz w:val="28"/>
          <w:szCs w:val="28"/>
        </w:rPr>
        <w:t xml:space="preserve"> </w:t>
      </w:r>
    </w:p>
    <w:p w:rsidR="00ED0B83" w:rsidRDefault="00ED0B83" w:rsidP="007623F6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</w:t>
      </w:r>
    </w:p>
    <w:p w:rsidR="007623F6" w:rsidRDefault="00ED0B83" w:rsidP="00D37812">
      <w:r>
        <w:rPr>
          <w:sz w:val="28"/>
          <w:szCs w:val="28"/>
        </w:rPr>
        <w:t xml:space="preserve">Репьевского муниципального района                                            </w:t>
      </w:r>
      <w:r w:rsidR="006A6BBA">
        <w:rPr>
          <w:sz w:val="28"/>
          <w:szCs w:val="28"/>
        </w:rPr>
        <w:t xml:space="preserve">С.В. </w:t>
      </w:r>
      <w:r w:rsidR="00DC1FB6">
        <w:rPr>
          <w:sz w:val="28"/>
          <w:szCs w:val="28"/>
        </w:rPr>
        <w:t>Акульшина</w:t>
      </w:r>
    </w:p>
    <w:sectPr w:rsidR="007623F6" w:rsidSect="004B66F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23F6"/>
    <w:rsid w:val="00006276"/>
    <w:rsid w:val="0003124F"/>
    <w:rsid w:val="00031619"/>
    <w:rsid w:val="00037DFD"/>
    <w:rsid w:val="00044E3C"/>
    <w:rsid w:val="00054BEC"/>
    <w:rsid w:val="000573E9"/>
    <w:rsid w:val="000649E7"/>
    <w:rsid w:val="00067574"/>
    <w:rsid w:val="00067F56"/>
    <w:rsid w:val="00097085"/>
    <w:rsid w:val="000A15D5"/>
    <w:rsid w:val="000C0408"/>
    <w:rsid w:val="000D19CD"/>
    <w:rsid w:val="000E339F"/>
    <w:rsid w:val="000E715D"/>
    <w:rsid w:val="001000E6"/>
    <w:rsid w:val="00100A06"/>
    <w:rsid w:val="00101153"/>
    <w:rsid w:val="0010218C"/>
    <w:rsid w:val="00104A6F"/>
    <w:rsid w:val="0011271E"/>
    <w:rsid w:val="00120780"/>
    <w:rsid w:val="00120E12"/>
    <w:rsid w:val="00121FD8"/>
    <w:rsid w:val="00127E72"/>
    <w:rsid w:val="0013642C"/>
    <w:rsid w:val="00144A42"/>
    <w:rsid w:val="00155251"/>
    <w:rsid w:val="00160240"/>
    <w:rsid w:val="00162394"/>
    <w:rsid w:val="00162E26"/>
    <w:rsid w:val="0016543B"/>
    <w:rsid w:val="00174E6B"/>
    <w:rsid w:val="00176853"/>
    <w:rsid w:val="00181BE7"/>
    <w:rsid w:val="00185852"/>
    <w:rsid w:val="0018648D"/>
    <w:rsid w:val="001A3A74"/>
    <w:rsid w:val="001C0131"/>
    <w:rsid w:val="001C3108"/>
    <w:rsid w:val="001E350F"/>
    <w:rsid w:val="001E3CFF"/>
    <w:rsid w:val="001E523D"/>
    <w:rsid w:val="001F1E66"/>
    <w:rsid w:val="0020286E"/>
    <w:rsid w:val="002033F6"/>
    <w:rsid w:val="00207020"/>
    <w:rsid w:val="0021314F"/>
    <w:rsid w:val="00217EAB"/>
    <w:rsid w:val="00221C34"/>
    <w:rsid w:val="0022311A"/>
    <w:rsid w:val="0023337D"/>
    <w:rsid w:val="00237555"/>
    <w:rsid w:val="002401EF"/>
    <w:rsid w:val="00252FA1"/>
    <w:rsid w:val="00253DEE"/>
    <w:rsid w:val="00263722"/>
    <w:rsid w:val="00275E94"/>
    <w:rsid w:val="00281A4D"/>
    <w:rsid w:val="00295B72"/>
    <w:rsid w:val="002A2A65"/>
    <w:rsid w:val="002A5A45"/>
    <w:rsid w:val="002B3C83"/>
    <w:rsid w:val="002D2976"/>
    <w:rsid w:val="002D7141"/>
    <w:rsid w:val="002E232F"/>
    <w:rsid w:val="002F49E1"/>
    <w:rsid w:val="002F73E6"/>
    <w:rsid w:val="00300943"/>
    <w:rsid w:val="00306F78"/>
    <w:rsid w:val="00311AC3"/>
    <w:rsid w:val="00315A9D"/>
    <w:rsid w:val="0032531E"/>
    <w:rsid w:val="00331B99"/>
    <w:rsid w:val="003351FD"/>
    <w:rsid w:val="00341101"/>
    <w:rsid w:val="00345741"/>
    <w:rsid w:val="00345AE4"/>
    <w:rsid w:val="00345F18"/>
    <w:rsid w:val="003461DA"/>
    <w:rsid w:val="00362DCE"/>
    <w:rsid w:val="0037098D"/>
    <w:rsid w:val="0038094B"/>
    <w:rsid w:val="00393442"/>
    <w:rsid w:val="00395FB4"/>
    <w:rsid w:val="003A1B38"/>
    <w:rsid w:val="003B0D62"/>
    <w:rsid w:val="003C037B"/>
    <w:rsid w:val="003F1367"/>
    <w:rsid w:val="003F596C"/>
    <w:rsid w:val="004167DB"/>
    <w:rsid w:val="00416A6E"/>
    <w:rsid w:val="00416DEC"/>
    <w:rsid w:val="00421D78"/>
    <w:rsid w:val="00425018"/>
    <w:rsid w:val="0042624A"/>
    <w:rsid w:val="004314FA"/>
    <w:rsid w:val="00432824"/>
    <w:rsid w:val="00434D00"/>
    <w:rsid w:val="0043792E"/>
    <w:rsid w:val="00450166"/>
    <w:rsid w:val="00454BD7"/>
    <w:rsid w:val="0045619C"/>
    <w:rsid w:val="00456F60"/>
    <w:rsid w:val="00467F91"/>
    <w:rsid w:val="0047585E"/>
    <w:rsid w:val="00481921"/>
    <w:rsid w:val="00494F3D"/>
    <w:rsid w:val="004A14E6"/>
    <w:rsid w:val="004A201F"/>
    <w:rsid w:val="004A328E"/>
    <w:rsid w:val="004B0D8F"/>
    <w:rsid w:val="004B3A39"/>
    <w:rsid w:val="004B66F1"/>
    <w:rsid w:val="004E16EB"/>
    <w:rsid w:val="004F01A7"/>
    <w:rsid w:val="004F2D02"/>
    <w:rsid w:val="004F55ED"/>
    <w:rsid w:val="005127F1"/>
    <w:rsid w:val="00514706"/>
    <w:rsid w:val="00515BF0"/>
    <w:rsid w:val="00531077"/>
    <w:rsid w:val="005431CA"/>
    <w:rsid w:val="00570DE3"/>
    <w:rsid w:val="00574593"/>
    <w:rsid w:val="005841C2"/>
    <w:rsid w:val="00584E6B"/>
    <w:rsid w:val="0059038B"/>
    <w:rsid w:val="00590A16"/>
    <w:rsid w:val="00591299"/>
    <w:rsid w:val="00595E9C"/>
    <w:rsid w:val="00596B07"/>
    <w:rsid w:val="005A716B"/>
    <w:rsid w:val="005B17F6"/>
    <w:rsid w:val="005C00C7"/>
    <w:rsid w:val="005C166E"/>
    <w:rsid w:val="005C6600"/>
    <w:rsid w:val="005D0B8E"/>
    <w:rsid w:val="005D36D8"/>
    <w:rsid w:val="005E0EA3"/>
    <w:rsid w:val="005E7508"/>
    <w:rsid w:val="005F4CF9"/>
    <w:rsid w:val="005F5F4F"/>
    <w:rsid w:val="0061275B"/>
    <w:rsid w:val="00612E13"/>
    <w:rsid w:val="00612F80"/>
    <w:rsid w:val="00613C9F"/>
    <w:rsid w:val="0061469D"/>
    <w:rsid w:val="006215A4"/>
    <w:rsid w:val="00622703"/>
    <w:rsid w:val="00632A83"/>
    <w:rsid w:val="00637D6A"/>
    <w:rsid w:val="0064077B"/>
    <w:rsid w:val="00660577"/>
    <w:rsid w:val="006748AD"/>
    <w:rsid w:val="00676F49"/>
    <w:rsid w:val="0068571B"/>
    <w:rsid w:val="00686E71"/>
    <w:rsid w:val="006A033A"/>
    <w:rsid w:val="006A39C3"/>
    <w:rsid w:val="006A6BBA"/>
    <w:rsid w:val="006A7651"/>
    <w:rsid w:val="006B2579"/>
    <w:rsid w:val="006C1AB9"/>
    <w:rsid w:val="006D4EC8"/>
    <w:rsid w:val="006E04CF"/>
    <w:rsid w:val="006E49D6"/>
    <w:rsid w:val="006F25E6"/>
    <w:rsid w:val="007237FB"/>
    <w:rsid w:val="00735299"/>
    <w:rsid w:val="00742B6A"/>
    <w:rsid w:val="00742E4E"/>
    <w:rsid w:val="007612A9"/>
    <w:rsid w:val="007623F6"/>
    <w:rsid w:val="00776BF9"/>
    <w:rsid w:val="00786C9D"/>
    <w:rsid w:val="00797913"/>
    <w:rsid w:val="007B12F3"/>
    <w:rsid w:val="007B1604"/>
    <w:rsid w:val="007B31D9"/>
    <w:rsid w:val="007B59F5"/>
    <w:rsid w:val="007B63C1"/>
    <w:rsid w:val="007B6918"/>
    <w:rsid w:val="007C1B84"/>
    <w:rsid w:val="007C465B"/>
    <w:rsid w:val="007C55FA"/>
    <w:rsid w:val="007D020D"/>
    <w:rsid w:val="007E0F50"/>
    <w:rsid w:val="007E7EAD"/>
    <w:rsid w:val="007F720C"/>
    <w:rsid w:val="008142E7"/>
    <w:rsid w:val="0082293C"/>
    <w:rsid w:val="00824911"/>
    <w:rsid w:val="008267F6"/>
    <w:rsid w:val="00835423"/>
    <w:rsid w:val="00835E66"/>
    <w:rsid w:val="00846094"/>
    <w:rsid w:val="008521D1"/>
    <w:rsid w:val="00854B61"/>
    <w:rsid w:val="008554BA"/>
    <w:rsid w:val="008579FB"/>
    <w:rsid w:val="008965ED"/>
    <w:rsid w:val="00896AFE"/>
    <w:rsid w:val="00897205"/>
    <w:rsid w:val="008A5885"/>
    <w:rsid w:val="008B6336"/>
    <w:rsid w:val="008B65BA"/>
    <w:rsid w:val="008B6E13"/>
    <w:rsid w:val="008C6105"/>
    <w:rsid w:val="008C751D"/>
    <w:rsid w:val="008D5754"/>
    <w:rsid w:val="008D7CCF"/>
    <w:rsid w:val="008E31B3"/>
    <w:rsid w:val="008E3BDB"/>
    <w:rsid w:val="008E3D56"/>
    <w:rsid w:val="008F06AB"/>
    <w:rsid w:val="008F14C9"/>
    <w:rsid w:val="008F522E"/>
    <w:rsid w:val="008F6FB9"/>
    <w:rsid w:val="00905929"/>
    <w:rsid w:val="00906AF7"/>
    <w:rsid w:val="009153DE"/>
    <w:rsid w:val="009160D3"/>
    <w:rsid w:val="009204F7"/>
    <w:rsid w:val="00923503"/>
    <w:rsid w:val="009315D9"/>
    <w:rsid w:val="00936037"/>
    <w:rsid w:val="0094496E"/>
    <w:rsid w:val="00944D2F"/>
    <w:rsid w:val="00952000"/>
    <w:rsid w:val="009535A9"/>
    <w:rsid w:val="00957D61"/>
    <w:rsid w:val="009902C8"/>
    <w:rsid w:val="00994ACD"/>
    <w:rsid w:val="009A5E4A"/>
    <w:rsid w:val="009B1916"/>
    <w:rsid w:val="009B4284"/>
    <w:rsid w:val="009C0F89"/>
    <w:rsid w:val="009C6883"/>
    <w:rsid w:val="009D191D"/>
    <w:rsid w:val="009F2322"/>
    <w:rsid w:val="00A13A2C"/>
    <w:rsid w:val="00A14A07"/>
    <w:rsid w:val="00A32D68"/>
    <w:rsid w:val="00A41A60"/>
    <w:rsid w:val="00A56758"/>
    <w:rsid w:val="00A577BF"/>
    <w:rsid w:val="00A61474"/>
    <w:rsid w:val="00A64318"/>
    <w:rsid w:val="00AA2F1F"/>
    <w:rsid w:val="00AA3FAD"/>
    <w:rsid w:val="00AB36D3"/>
    <w:rsid w:val="00AC0388"/>
    <w:rsid w:val="00AC1F22"/>
    <w:rsid w:val="00AC3EC0"/>
    <w:rsid w:val="00AC60DD"/>
    <w:rsid w:val="00AD06B1"/>
    <w:rsid w:val="00AD6D63"/>
    <w:rsid w:val="00AD7617"/>
    <w:rsid w:val="00AE16C0"/>
    <w:rsid w:val="00AE5552"/>
    <w:rsid w:val="00AF08DA"/>
    <w:rsid w:val="00AF30A8"/>
    <w:rsid w:val="00B04157"/>
    <w:rsid w:val="00B05F29"/>
    <w:rsid w:val="00B06D9F"/>
    <w:rsid w:val="00B06EE5"/>
    <w:rsid w:val="00B0707C"/>
    <w:rsid w:val="00B10A16"/>
    <w:rsid w:val="00B15E30"/>
    <w:rsid w:val="00B206BF"/>
    <w:rsid w:val="00B27168"/>
    <w:rsid w:val="00B34456"/>
    <w:rsid w:val="00B34C39"/>
    <w:rsid w:val="00B5120B"/>
    <w:rsid w:val="00B52838"/>
    <w:rsid w:val="00B5662F"/>
    <w:rsid w:val="00B61EF1"/>
    <w:rsid w:val="00B720A1"/>
    <w:rsid w:val="00B822C8"/>
    <w:rsid w:val="00B85F12"/>
    <w:rsid w:val="00B86C76"/>
    <w:rsid w:val="00B94328"/>
    <w:rsid w:val="00BC17AC"/>
    <w:rsid w:val="00BC2E85"/>
    <w:rsid w:val="00BD2DDE"/>
    <w:rsid w:val="00BF3BC7"/>
    <w:rsid w:val="00BF5F1D"/>
    <w:rsid w:val="00C00836"/>
    <w:rsid w:val="00C03E18"/>
    <w:rsid w:val="00C04B49"/>
    <w:rsid w:val="00C05BE9"/>
    <w:rsid w:val="00C5731E"/>
    <w:rsid w:val="00C61CD1"/>
    <w:rsid w:val="00C63E35"/>
    <w:rsid w:val="00C66042"/>
    <w:rsid w:val="00C66EA0"/>
    <w:rsid w:val="00C717DB"/>
    <w:rsid w:val="00C76D38"/>
    <w:rsid w:val="00C8430A"/>
    <w:rsid w:val="00CA0797"/>
    <w:rsid w:val="00CA47A7"/>
    <w:rsid w:val="00CA5D44"/>
    <w:rsid w:val="00CB6C4E"/>
    <w:rsid w:val="00CC0351"/>
    <w:rsid w:val="00CC2A7D"/>
    <w:rsid w:val="00CD6F2F"/>
    <w:rsid w:val="00CD74F0"/>
    <w:rsid w:val="00CE709A"/>
    <w:rsid w:val="00CF62D4"/>
    <w:rsid w:val="00CF63DE"/>
    <w:rsid w:val="00CF6F0D"/>
    <w:rsid w:val="00D00B33"/>
    <w:rsid w:val="00D02DF1"/>
    <w:rsid w:val="00D04E56"/>
    <w:rsid w:val="00D162A4"/>
    <w:rsid w:val="00D21DCC"/>
    <w:rsid w:val="00D254C6"/>
    <w:rsid w:val="00D33390"/>
    <w:rsid w:val="00D37812"/>
    <w:rsid w:val="00D37951"/>
    <w:rsid w:val="00D4043B"/>
    <w:rsid w:val="00D534FC"/>
    <w:rsid w:val="00D53E71"/>
    <w:rsid w:val="00D66F31"/>
    <w:rsid w:val="00D95CDA"/>
    <w:rsid w:val="00D97597"/>
    <w:rsid w:val="00D9781D"/>
    <w:rsid w:val="00DB426D"/>
    <w:rsid w:val="00DB7492"/>
    <w:rsid w:val="00DC1FB6"/>
    <w:rsid w:val="00DC4189"/>
    <w:rsid w:val="00DC50F3"/>
    <w:rsid w:val="00DD0A16"/>
    <w:rsid w:val="00DD2028"/>
    <w:rsid w:val="00DD34BD"/>
    <w:rsid w:val="00DD496B"/>
    <w:rsid w:val="00DE171F"/>
    <w:rsid w:val="00DE19C4"/>
    <w:rsid w:val="00DE5A41"/>
    <w:rsid w:val="00DE7D86"/>
    <w:rsid w:val="00DF1C81"/>
    <w:rsid w:val="00DF648A"/>
    <w:rsid w:val="00DF7B66"/>
    <w:rsid w:val="00E02940"/>
    <w:rsid w:val="00E3008F"/>
    <w:rsid w:val="00E44521"/>
    <w:rsid w:val="00E57FDB"/>
    <w:rsid w:val="00E72AFD"/>
    <w:rsid w:val="00E938E8"/>
    <w:rsid w:val="00E95044"/>
    <w:rsid w:val="00E9528F"/>
    <w:rsid w:val="00EA25BB"/>
    <w:rsid w:val="00ED0B83"/>
    <w:rsid w:val="00ED2542"/>
    <w:rsid w:val="00EE066C"/>
    <w:rsid w:val="00EF36F9"/>
    <w:rsid w:val="00EF3852"/>
    <w:rsid w:val="00F028F7"/>
    <w:rsid w:val="00F03E5B"/>
    <w:rsid w:val="00F05B88"/>
    <w:rsid w:val="00F1709F"/>
    <w:rsid w:val="00F17BEA"/>
    <w:rsid w:val="00F20CE7"/>
    <w:rsid w:val="00F2738B"/>
    <w:rsid w:val="00F27603"/>
    <w:rsid w:val="00F3080F"/>
    <w:rsid w:val="00F315A9"/>
    <w:rsid w:val="00F34060"/>
    <w:rsid w:val="00F34B62"/>
    <w:rsid w:val="00F36451"/>
    <w:rsid w:val="00F37D96"/>
    <w:rsid w:val="00F46C0B"/>
    <w:rsid w:val="00F56AA9"/>
    <w:rsid w:val="00F6257D"/>
    <w:rsid w:val="00F804A9"/>
    <w:rsid w:val="00F854E7"/>
    <w:rsid w:val="00F91097"/>
    <w:rsid w:val="00FA04AE"/>
    <w:rsid w:val="00FA68EB"/>
    <w:rsid w:val="00FB6D5B"/>
    <w:rsid w:val="00FE28B8"/>
    <w:rsid w:val="00FE41FF"/>
    <w:rsid w:val="00FE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84E6B"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rsid w:val="00B94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3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E3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caption"/>
    <w:basedOn w:val="a"/>
    <w:next w:val="a"/>
    <w:unhideWhenUsed/>
    <w:qFormat/>
    <w:rsid w:val="004314FA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rsid w:val="00F8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9AC5393EF62FDA85D515D099005B5445B8F3DBBBCC2426F47E2BFFD7F9CE4E386021A4AD99289DA29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64395</c:v>
                </c:pt>
                <c:pt idx="1">
                  <c:v>68239</c:v>
                </c:pt>
                <c:pt idx="2">
                  <c:v>72634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31-4D07-BB4A-FD807F809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287549.09999999998</c:v>
                </c:pt>
                <c:pt idx="1">
                  <c:v>192541.1</c:v>
                </c:pt>
                <c:pt idx="2">
                  <c:v>224613.7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31-4D07-BB4A-FD807F80989B}"/>
            </c:ext>
          </c:extLst>
        </c:ser>
        <c:axId val="60257408"/>
        <c:axId val="60258944"/>
      </c:barChart>
      <c:catAx>
        <c:axId val="60257408"/>
        <c:scaling>
          <c:orientation val="minMax"/>
        </c:scaling>
        <c:axPos val="b"/>
        <c:numFmt formatCode="General" sourceLinked="0"/>
        <c:tickLblPos val="nextTo"/>
        <c:crossAx val="60258944"/>
        <c:crosses val="autoZero"/>
        <c:auto val="1"/>
        <c:lblAlgn val="ctr"/>
        <c:lblOffset val="100"/>
      </c:catAx>
      <c:valAx>
        <c:axId val="60258944"/>
        <c:scaling>
          <c:orientation val="minMax"/>
        </c:scaling>
        <c:axPos val="l"/>
        <c:majorGridlines/>
        <c:numFmt formatCode="General" sourceLinked="1"/>
        <c:tickLblPos val="nextTo"/>
        <c:crossAx val="60257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41242</c:v>
                </c:pt>
                <c:pt idx="1">
                  <c:v>9420</c:v>
                </c:pt>
                <c:pt idx="2">
                  <c:v>4348</c:v>
                </c:pt>
                <c:pt idx="3">
                  <c:v>710</c:v>
                </c:pt>
                <c:pt idx="4">
                  <c:v>4657</c:v>
                </c:pt>
                <c:pt idx="5">
                  <c:v>32</c:v>
                </c:pt>
                <c:pt idx="6">
                  <c:v>1311</c:v>
                </c:pt>
                <c:pt idx="7">
                  <c:v>130</c:v>
                </c:pt>
                <c:pt idx="8">
                  <c:v>481</c:v>
                </c:pt>
                <c:pt idx="9">
                  <c:v>2064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D0-49CC-9041-D9EBB9FCE9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44274</c:v>
                </c:pt>
                <c:pt idx="1">
                  <c:v>9933</c:v>
                </c:pt>
                <c:pt idx="2">
                  <c:v>4473</c:v>
                </c:pt>
                <c:pt idx="3">
                  <c:v>731</c:v>
                </c:pt>
                <c:pt idx="4">
                  <c:v>4684</c:v>
                </c:pt>
                <c:pt idx="5">
                  <c:v>33</c:v>
                </c:pt>
                <c:pt idx="6">
                  <c:v>1347</c:v>
                </c:pt>
                <c:pt idx="7">
                  <c:v>125</c:v>
                </c:pt>
                <c:pt idx="8">
                  <c:v>516</c:v>
                </c:pt>
                <c:pt idx="9">
                  <c:v>2123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D0-49CC-9041-D9EBB9FCE9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47540</c:v>
                </c:pt>
                <c:pt idx="1">
                  <c:v>10768</c:v>
                </c:pt>
                <c:pt idx="2">
                  <c:v>4605</c:v>
                </c:pt>
                <c:pt idx="3">
                  <c:v>753</c:v>
                </c:pt>
                <c:pt idx="4">
                  <c:v>4716</c:v>
                </c:pt>
                <c:pt idx="5">
                  <c:v>34</c:v>
                </c:pt>
                <c:pt idx="6">
                  <c:v>1383</c:v>
                </c:pt>
                <c:pt idx="7">
                  <c:v>125</c:v>
                </c:pt>
                <c:pt idx="8">
                  <c:v>526</c:v>
                </c:pt>
                <c:pt idx="9">
                  <c:v>2184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D0-49CC-9041-D9EBB9FCE97F}"/>
            </c:ext>
          </c:extLst>
        </c:ser>
        <c:shape val="cylinder"/>
        <c:axId val="24547712"/>
        <c:axId val="24549248"/>
        <c:axId val="0"/>
      </c:bar3DChart>
      <c:catAx>
        <c:axId val="24547712"/>
        <c:scaling>
          <c:orientation val="minMax"/>
        </c:scaling>
        <c:axPos val="b"/>
        <c:numFmt formatCode="General" sourceLinked="1"/>
        <c:tickLblPos val="nextTo"/>
        <c:crossAx val="24549248"/>
        <c:crosses val="autoZero"/>
        <c:auto val="1"/>
        <c:lblAlgn val="ctr"/>
        <c:lblOffset val="100"/>
      </c:catAx>
      <c:valAx>
        <c:axId val="24549248"/>
        <c:scaling>
          <c:orientation val="minMax"/>
        </c:scaling>
        <c:axPos val="l"/>
        <c:majorGridlines/>
        <c:numFmt formatCode="General" sourceLinked="1"/>
        <c:tickLblPos val="nextTo"/>
        <c:crossAx val="245477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ожидаемого исполнения районного бюджета за 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39507</c:v>
                </c:pt>
                <c:pt idx="1">
                  <c:v>8394</c:v>
                </c:pt>
                <c:pt idx="2">
                  <c:v>4231</c:v>
                </c:pt>
                <c:pt idx="3">
                  <c:v>695</c:v>
                </c:pt>
                <c:pt idx="4">
                  <c:v>10021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1D-4285-B043-B5245E2C6B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 бюджета Репьевского района на 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">
                  <c:v>41242</c:v>
                </c:pt>
                <c:pt idx="1">
                  <c:v>9420</c:v>
                </c:pt>
                <c:pt idx="2" formatCode="0">
                  <c:v>4348</c:v>
                </c:pt>
                <c:pt idx="3" formatCode="0">
                  <c:v>710</c:v>
                </c:pt>
                <c:pt idx="4" formatCode="0">
                  <c:v>8675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1D-4285-B043-B5245E2C6BAD}"/>
            </c:ext>
          </c:extLst>
        </c:ser>
        <c:axId val="62124032"/>
        <c:axId val="62125568"/>
      </c:barChart>
      <c:catAx>
        <c:axId val="62124032"/>
        <c:scaling>
          <c:orientation val="minMax"/>
        </c:scaling>
        <c:axPos val="b"/>
        <c:numFmt formatCode="General" sourceLinked="0"/>
        <c:tickLblPos val="nextTo"/>
        <c:crossAx val="62125568"/>
        <c:crosses val="autoZero"/>
        <c:auto val="1"/>
        <c:lblAlgn val="ctr"/>
        <c:lblOffset val="100"/>
      </c:catAx>
      <c:valAx>
        <c:axId val="62125568"/>
        <c:scaling>
          <c:orientation val="minMax"/>
        </c:scaling>
        <c:delete val="1"/>
        <c:axPos val="l"/>
        <c:majorGridlines/>
        <c:numFmt formatCode="0" sourceLinked="1"/>
        <c:tickLblPos val="nextTo"/>
        <c:crossAx val="62124032"/>
        <c:crosses val="autoZero"/>
        <c:crossBetween val="between"/>
      </c:valAx>
    </c:plotArea>
    <c:legend>
      <c:legendPos val="b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0503189705453484"/>
          <c:y val="4.4057617797775492E-2"/>
          <c:w val="0.6309993802858006"/>
          <c:h val="0.65625213681957451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0097817908201673E-2"/>
                </c:manualLayout>
              </c:layout>
              <c:showVal val="1"/>
            </c:dLbl>
            <c:dLbl>
              <c:idx val="3"/>
              <c:layout>
                <c:manualLayout>
                  <c:x val="-1.9240019240019317E-3"/>
                  <c:y val="-5.1166290443942955E-2"/>
                </c:manualLayout>
              </c:layout>
              <c:showVal val="1"/>
            </c:dLbl>
            <c:dLbl>
              <c:idx val="4"/>
              <c:layout>
                <c:manualLayout>
                  <c:x val="5.772005772005772E-3"/>
                  <c:y val="-3.61173814898420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80-4E8C-9C15-4C7983A0F769}"/>
                </c:ext>
              </c:extLst>
            </c:dLbl>
            <c:dLbl>
              <c:idx val="6"/>
              <c:layout>
                <c:manualLayout>
                  <c:x val="0"/>
                  <c:y val="-5.71858540255831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80-4E8C-9C15-4C7983A0F76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39165.800000000003</c:v>
                </c:pt>
                <c:pt idx="1">
                  <c:v>100</c:v>
                </c:pt>
                <c:pt idx="2">
                  <c:v>10727.8</c:v>
                </c:pt>
                <c:pt idx="3">
                  <c:v>668.5</c:v>
                </c:pt>
                <c:pt idx="4">
                  <c:v>152807.70000000001</c:v>
                </c:pt>
                <c:pt idx="5">
                  <c:v>39349.199999999997</c:v>
                </c:pt>
                <c:pt idx="6">
                  <c:v>10218</c:v>
                </c:pt>
                <c:pt idx="7">
                  <c:v>6823.2</c:v>
                </c:pt>
                <c:pt idx="8">
                  <c:v>100</c:v>
                </c:pt>
                <c:pt idx="9">
                  <c:v>21228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80-4E8C-9C15-4C7983A0F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1.9240019240019317E-3"/>
                  <c:y val="4.514672686230248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00978179082017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80-4E8C-9C15-4C7983A0F769}"/>
                </c:ext>
              </c:extLst>
            </c:dLbl>
            <c:dLbl>
              <c:idx val="7"/>
              <c:layout>
                <c:manualLayout>
                  <c:x val="3.8480038480038547E-3"/>
                  <c:y val="4.815650865312257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50777.2</c:v>
                </c:pt>
                <c:pt idx="1">
                  <c:v>100</c:v>
                </c:pt>
                <c:pt idx="2">
                  <c:v>44575.5</c:v>
                </c:pt>
                <c:pt idx="3">
                  <c:v>7251.2</c:v>
                </c:pt>
                <c:pt idx="4">
                  <c:v>157969.5</c:v>
                </c:pt>
                <c:pt idx="5">
                  <c:v>42694.3</c:v>
                </c:pt>
                <c:pt idx="6">
                  <c:v>18197.2</c:v>
                </c:pt>
                <c:pt idx="7">
                  <c:v>8279.5</c:v>
                </c:pt>
                <c:pt idx="9">
                  <c:v>28598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80-4E8C-9C15-4C7983A0F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1.5048908954100798E-2"/>
                </c:manualLayout>
              </c:layout>
              <c:showVal val="1"/>
            </c:dLbl>
            <c:dLbl>
              <c:idx val="6"/>
              <c:layout>
                <c:manualLayout>
                  <c:x val="3.8480038480038547E-3"/>
                  <c:y val="2.407825432656134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805869074492101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26355.9</c:v>
                </c:pt>
                <c:pt idx="1">
                  <c:v>50</c:v>
                </c:pt>
                <c:pt idx="2">
                  <c:v>28885.200000000001</c:v>
                </c:pt>
                <c:pt idx="3">
                  <c:v>7252.1</c:v>
                </c:pt>
                <c:pt idx="4">
                  <c:v>143424.20000000001</c:v>
                </c:pt>
                <c:pt idx="5">
                  <c:v>24242.7</c:v>
                </c:pt>
                <c:pt idx="6">
                  <c:v>17530.09999999998</c:v>
                </c:pt>
                <c:pt idx="7">
                  <c:v>5078.9000000000005</c:v>
                </c:pt>
                <c:pt idx="9">
                  <c:v>4767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80-4E8C-9C15-4C7983A0F7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1"/>
              <c:layout>
                <c:manualLayout>
                  <c:x val="3.8480038480038547E-3"/>
                  <c:y val="-3.009781790820173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3107599699021821E-2"/>
                </c:manualLayout>
              </c:layout>
              <c:showVal val="1"/>
            </c:dLbl>
            <c:dLbl>
              <c:idx val="7"/>
              <c:layout>
                <c:manualLayout>
                  <c:x val="5.772005772005772E-3"/>
                  <c:y val="-2.708803611738148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25772.9</c:v>
                </c:pt>
                <c:pt idx="1">
                  <c:v>50</c:v>
                </c:pt>
                <c:pt idx="2">
                  <c:v>59109.5</c:v>
                </c:pt>
                <c:pt idx="3">
                  <c:v>6852.1</c:v>
                </c:pt>
                <c:pt idx="4">
                  <c:v>144312.20000000001</c:v>
                </c:pt>
                <c:pt idx="5">
                  <c:v>21544.7</c:v>
                </c:pt>
                <c:pt idx="6">
                  <c:v>18741.400000000001</c:v>
                </c:pt>
                <c:pt idx="7">
                  <c:v>4578.9000000000005</c:v>
                </c:pt>
                <c:pt idx="9">
                  <c:v>4873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80-4E8C-9C15-4C7983A0F769}"/>
            </c:ext>
          </c:extLst>
        </c:ser>
        <c:shape val="box"/>
        <c:axId val="67489792"/>
        <c:axId val="67491328"/>
        <c:axId val="0"/>
      </c:bar3DChart>
      <c:catAx>
        <c:axId val="67489792"/>
        <c:scaling>
          <c:orientation val="minMax"/>
        </c:scaling>
        <c:axPos val="b"/>
        <c:numFmt formatCode="General" sourceLinked="0"/>
        <c:tickLblPos val="nextTo"/>
        <c:crossAx val="67491328"/>
        <c:crosses val="autoZero"/>
        <c:auto val="1"/>
        <c:lblAlgn val="ctr"/>
        <c:lblOffset val="100"/>
      </c:catAx>
      <c:valAx>
        <c:axId val="67491328"/>
        <c:scaling>
          <c:orientation val="minMax"/>
        </c:scaling>
        <c:axPos val="l"/>
        <c:majorGridlines/>
        <c:numFmt formatCode="0%" sourceLinked="1"/>
        <c:tickLblPos val="nextTo"/>
        <c:crossAx val="67489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879228638087064E-2"/>
          <c:y val="4.4057617797775464E-2"/>
          <c:w val="0.82317056722076409"/>
          <c:h val="0.730184976877890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7.8778926637124574E-3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A10-40FC-9364-8B1E117476D1}"/>
                </c:ext>
              </c:extLst>
            </c:dLbl>
            <c:dLbl>
              <c:idx val="1"/>
              <c:layout>
                <c:manualLayout>
                  <c:x val="0"/>
                  <c:y val="-6.746031746031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3156</c:v>
                </c:pt>
                <c:pt idx="1">
                  <c:v>1025.0999999999999</c:v>
                </c:pt>
                <c:pt idx="2">
                  <c:v>6036.9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10-40FC-9364-8B1E117476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1.1816838995568743E-2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A10-40FC-9364-8B1E117476D1}"/>
                </c:ext>
              </c:extLst>
            </c:dLbl>
            <c:dLbl>
              <c:idx val="1"/>
              <c:layout>
                <c:manualLayout>
                  <c:x val="0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3240</c:v>
                </c:pt>
                <c:pt idx="1">
                  <c:v>1395.1</c:v>
                </c:pt>
                <c:pt idx="2">
                  <c:v>13562.1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10-40FC-9364-8B1E117476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1"/>
              <c:layout>
                <c:manualLayout>
                  <c:x val="5.9084194977843821E-3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A10-40FC-9364-8B1E117476D1}"/>
                </c:ext>
              </c:extLst>
            </c:dLbl>
            <c:dLbl>
              <c:idx val="2"/>
              <c:layout>
                <c:manualLayout>
                  <c:x val="-1.3786312161496799E-2"/>
                  <c:y val="-1.98412698412699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1500</c:v>
                </c:pt>
                <c:pt idx="1">
                  <c:v>1351</c:v>
                </c:pt>
                <c:pt idx="2">
                  <c:v>14679.1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A10-40FC-9364-8B1E117476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layout>
                <c:manualLayout>
                  <c:x val="1.5755785327424915E-2"/>
                  <c:y val="7.93650793650794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A10-40FC-9364-8B1E117476D1}"/>
                </c:ext>
              </c:extLst>
            </c:dLbl>
            <c:dLbl>
              <c:idx val="2"/>
              <c:layout>
                <c:manualLayout>
                  <c:x val="2.1664204825209282E-2"/>
                  <c:y val="1.98412698412699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700</c:v>
                </c:pt>
                <c:pt idx="1">
                  <c:v>1211</c:v>
                </c:pt>
                <c:pt idx="2">
                  <c:v>16830.400000000001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A10-40FC-9364-8B1E117476D1}"/>
            </c:ext>
          </c:extLst>
        </c:ser>
        <c:axId val="67580672"/>
        <c:axId val="67582208"/>
      </c:barChart>
      <c:catAx>
        <c:axId val="67580672"/>
        <c:scaling>
          <c:orientation val="minMax"/>
        </c:scaling>
        <c:axPos val="b"/>
        <c:numFmt formatCode="General" sourceLinked="0"/>
        <c:tickLblPos val="nextTo"/>
        <c:crossAx val="67582208"/>
        <c:crosses val="autoZero"/>
        <c:auto val="1"/>
        <c:lblAlgn val="ctr"/>
        <c:lblOffset val="100"/>
      </c:catAx>
      <c:valAx>
        <c:axId val="67582208"/>
        <c:scaling>
          <c:orientation val="minMax"/>
        </c:scaling>
        <c:axPos val="l"/>
        <c:majorGridlines/>
        <c:numFmt formatCode="General" sourceLinked="1"/>
        <c:tickLblPos val="nextTo"/>
        <c:crossAx val="67580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0561533974919801"/>
          <c:y val="5.1994125734283213E-2"/>
          <c:w val="0.76877241907261595"/>
          <c:h val="0.516583864516933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функционирование законодательных и представительных органов</c:v>
                </c:pt>
                <c:pt idx="1">
                  <c:v>функционирование исполнительных органов</c:v>
                </c:pt>
                <c:pt idx="2">
                  <c:v>судебная система</c:v>
                </c:pt>
                <c:pt idx="3">
                  <c:v>обеспечение деятельности финансовых органов</c:v>
                </c:pt>
                <c:pt idx="4">
                  <c:v>резервный фонд</c:v>
                </c:pt>
                <c:pt idx="5">
                  <c:v>др. вопросы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592.70000000000005</c:v>
                </c:pt>
                <c:pt idx="1">
                  <c:v>14176.2</c:v>
                </c:pt>
                <c:pt idx="2">
                  <c:v>36.5</c:v>
                </c:pt>
                <c:pt idx="3">
                  <c:v>4932.9000000000005</c:v>
                </c:pt>
                <c:pt idx="4">
                  <c:v>2531</c:v>
                </c:pt>
                <c:pt idx="5">
                  <c:v>16896.5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E0-4AB4-8112-3CBB50348C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6.9444444444444623E-3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E0-4AB4-8112-3CBB50348CAB}"/>
                </c:ext>
              </c:extLst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4.6296296296296502E-3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E0-4AB4-8112-3CBB50348CAB}"/>
                </c:ext>
              </c:extLst>
            </c:dLbl>
            <c:dLbl>
              <c:idx val="3"/>
              <c:layout>
                <c:manualLayout>
                  <c:x val="2.3148148148148147E-3"/>
                  <c:y val="-7.142857142857142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функционирование законодательных и представительных органов</c:v>
                </c:pt>
                <c:pt idx="1">
                  <c:v>функционирование исполнительных органов</c:v>
                </c:pt>
                <c:pt idx="2">
                  <c:v>судебная система</c:v>
                </c:pt>
                <c:pt idx="3">
                  <c:v>обеспечение деятельности финансовых органов</c:v>
                </c:pt>
                <c:pt idx="4">
                  <c:v>резервный фонд</c:v>
                </c:pt>
                <c:pt idx="5">
                  <c:v>др. вопросы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517.70000000000005</c:v>
                </c:pt>
                <c:pt idx="1">
                  <c:v>14513.5</c:v>
                </c:pt>
                <c:pt idx="3">
                  <c:v>4617.2</c:v>
                </c:pt>
                <c:pt idx="4">
                  <c:v>10100</c:v>
                </c:pt>
                <c:pt idx="5">
                  <c:v>21028.799999999996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E0-4AB4-8112-3CBB50348C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3.968253968253976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E0-4AB4-8112-3CBB50348CAB}"/>
                </c:ext>
              </c:extLst>
            </c:dLbl>
            <c:dLbl>
              <c:idx val="1"/>
              <c:layout>
                <c:manualLayout>
                  <c:x val="4.3981481481481483E-2"/>
                  <c:y val="0.1309523809523812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E0-4AB4-8112-3CBB50348CAB}"/>
                </c:ext>
              </c:extLst>
            </c:dLbl>
            <c:dLbl>
              <c:idx val="2"/>
              <c:layout>
                <c:manualLayout>
                  <c:x val="2.7777777777777964E-2"/>
                  <c:y val="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4E0-4AB4-8112-3CBB50348CAB}"/>
                </c:ext>
              </c:extLst>
            </c:dLbl>
            <c:dLbl>
              <c:idx val="3"/>
              <c:layout>
                <c:manualLayout>
                  <c:x val="2.0833333333333398E-2"/>
                  <c:y val="-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3.4722222222222224E-2"/>
                  <c:y val="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4E0-4AB4-8112-3CBB50348CAB}"/>
                </c:ext>
              </c:extLst>
            </c:dLbl>
            <c:dLbl>
              <c:idx val="5"/>
              <c:layout>
                <c:manualLayout>
                  <c:x val="5.7870370370370371E-2"/>
                  <c:y val="0.10714285714285714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функционирование законодательных и представительных органов</c:v>
                </c:pt>
                <c:pt idx="1">
                  <c:v>функционирование исполнительных органов</c:v>
                </c:pt>
                <c:pt idx="2">
                  <c:v>судебная система</c:v>
                </c:pt>
                <c:pt idx="3">
                  <c:v>обеспечение деятельности финансовых органов</c:v>
                </c:pt>
                <c:pt idx="4">
                  <c:v>резервный фонд</c:v>
                </c:pt>
                <c:pt idx="5">
                  <c:v>др. вопросы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274.2</c:v>
                </c:pt>
                <c:pt idx="1">
                  <c:v>11429</c:v>
                </c:pt>
                <c:pt idx="3">
                  <c:v>3147.6</c:v>
                </c:pt>
                <c:pt idx="5">
                  <c:v>11505.1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4E0-4AB4-8112-3CBB50348CA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функционирование законодательных и представительных органов</c:v>
                </c:pt>
                <c:pt idx="1">
                  <c:v>функционирование исполнительных органов</c:v>
                </c:pt>
                <c:pt idx="2">
                  <c:v>судебная система</c:v>
                </c:pt>
                <c:pt idx="3">
                  <c:v>обеспечение деятельности финансовых органов</c:v>
                </c:pt>
                <c:pt idx="4">
                  <c:v>резервный фонд</c:v>
                </c:pt>
                <c:pt idx="5">
                  <c:v>др. вопросы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274.2</c:v>
                </c:pt>
                <c:pt idx="1">
                  <c:v>10778</c:v>
                </c:pt>
                <c:pt idx="3">
                  <c:v>3137.6</c:v>
                </c:pt>
                <c:pt idx="5">
                  <c:v>11583.1</c:v>
                </c:pt>
              </c:numCache>
            </c:numRef>
          </c:val>
        </c:ser>
        <c:axId val="75797632"/>
        <c:axId val="75799168"/>
      </c:barChart>
      <c:catAx>
        <c:axId val="75797632"/>
        <c:scaling>
          <c:orientation val="minMax"/>
        </c:scaling>
        <c:axPos val="b"/>
        <c:numFmt formatCode="General" sourceLinked="0"/>
        <c:tickLblPos val="nextTo"/>
        <c:crossAx val="75799168"/>
        <c:crosses val="autoZero"/>
        <c:auto val="1"/>
        <c:lblAlgn val="ctr"/>
        <c:lblOffset val="100"/>
      </c:catAx>
      <c:valAx>
        <c:axId val="75799168"/>
        <c:scaling>
          <c:orientation val="minMax"/>
        </c:scaling>
        <c:axPos val="l"/>
        <c:majorGridlines/>
        <c:numFmt formatCode="General" sourceLinked="1"/>
        <c:tickLblPos val="nextTo"/>
        <c:crossAx val="75797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9A92-68D0-431E-A840-0241E9F4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12509</TotalTime>
  <Pages>12</Pages>
  <Words>2685</Words>
  <Characters>18853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Акульшина Светлана В.</cp:lastModifiedBy>
  <cp:revision>71</cp:revision>
  <cp:lastPrinted>2018-12-05T07:27:00Z</cp:lastPrinted>
  <dcterms:created xsi:type="dcterms:W3CDTF">2008-12-01T09:36:00Z</dcterms:created>
  <dcterms:modified xsi:type="dcterms:W3CDTF">2020-01-16T16:53:00Z</dcterms:modified>
</cp:coreProperties>
</file>