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F6" w:rsidRDefault="007623F6" w:rsidP="007623F6">
      <w:pPr>
        <w:jc w:val="center"/>
        <w:rPr>
          <w:b/>
          <w:sz w:val="28"/>
          <w:szCs w:val="28"/>
        </w:rPr>
      </w:pPr>
    </w:p>
    <w:p w:rsidR="007623F6" w:rsidRDefault="007623F6" w:rsidP="00762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К Л Ю Ч Е Н И Е</w:t>
      </w:r>
    </w:p>
    <w:p w:rsidR="00584E6B" w:rsidRDefault="00584E6B" w:rsidP="007623F6">
      <w:pPr>
        <w:jc w:val="center"/>
        <w:rPr>
          <w:b/>
          <w:sz w:val="28"/>
          <w:szCs w:val="28"/>
        </w:rPr>
      </w:pPr>
    </w:p>
    <w:p w:rsidR="007623F6" w:rsidRDefault="007623F6" w:rsidP="00762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районного бюджета Репьевского муниципального района Воронежской области на 20</w:t>
      </w:r>
      <w:r w:rsidR="00F315A9">
        <w:rPr>
          <w:b/>
          <w:sz w:val="28"/>
          <w:szCs w:val="28"/>
        </w:rPr>
        <w:t>1</w:t>
      </w:r>
      <w:r w:rsidR="00B0707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  <w:r w:rsidR="005F5F4F">
        <w:rPr>
          <w:b/>
          <w:sz w:val="28"/>
          <w:szCs w:val="28"/>
        </w:rPr>
        <w:t xml:space="preserve"> и плановый период 201</w:t>
      </w:r>
      <w:r w:rsidR="00B0707C">
        <w:rPr>
          <w:b/>
          <w:sz w:val="28"/>
          <w:szCs w:val="28"/>
        </w:rPr>
        <w:t>9</w:t>
      </w:r>
      <w:r w:rsidR="005F5F4F">
        <w:rPr>
          <w:b/>
          <w:sz w:val="28"/>
          <w:szCs w:val="28"/>
        </w:rPr>
        <w:t>-20</w:t>
      </w:r>
      <w:r w:rsidR="00B0707C">
        <w:rPr>
          <w:b/>
          <w:sz w:val="28"/>
          <w:szCs w:val="28"/>
        </w:rPr>
        <w:t>20</w:t>
      </w:r>
      <w:r w:rsidR="005F5F4F">
        <w:rPr>
          <w:b/>
          <w:sz w:val="28"/>
          <w:szCs w:val="28"/>
        </w:rPr>
        <w:t>гг.</w:t>
      </w:r>
    </w:p>
    <w:p w:rsidR="009153DE" w:rsidRDefault="009153DE" w:rsidP="007623F6">
      <w:pPr>
        <w:jc w:val="center"/>
        <w:rPr>
          <w:b/>
          <w:sz w:val="28"/>
          <w:szCs w:val="28"/>
        </w:rPr>
      </w:pPr>
    </w:p>
    <w:p w:rsidR="00E72AFD" w:rsidRDefault="00E72AFD" w:rsidP="00E72AFD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Репьевка</w:t>
      </w:r>
      <w:proofErr w:type="gramEnd"/>
      <w:r>
        <w:rPr>
          <w:b/>
          <w:sz w:val="28"/>
          <w:szCs w:val="28"/>
        </w:rPr>
        <w:t xml:space="preserve">             </w:t>
      </w:r>
      <w:bookmarkStart w:id="0" w:name="_GoBack"/>
      <w:bookmarkEnd w:id="0"/>
      <w:r>
        <w:rPr>
          <w:b/>
          <w:sz w:val="28"/>
          <w:szCs w:val="28"/>
        </w:rPr>
        <w:t xml:space="preserve">   </w:t>
      </w:r>
      <w:r w:rsidR="00854B61"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>«</w:t>
      </w:r>
      <w:r w:rsidR="007C55FA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» декабря 201</w:t>
      </w:r>
      <w:r w:rsidR="00B0707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г.</w:t>
      </w:r>
    </w:p>
    <w:p w:rsidR="000649E7" w:rsidRDefault="009153DE" w:rsidP="009153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153DE" w:rsidRDefault="009153DE" w:rsidP="00064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и утверждение проекта  бюджета Репьевского муниципального района Воронежской области (далее по тексту проект  бюджета), проводилось в соответствии с БК РФ и Положением  «О бюджетном процессе в Репьевском муниципальном районе», утвержденным решением Совета народных депутатов района </w:t>
      </w:r>
      <w:r w:rsidRPr="00ED0B83">
        <w:rPr>
          <w:sz w:val="28"/>
          <w:szCs w:val="28"/>
        </w:rPr>
        <w:t>от 22.02.2008г. №237</w:t>
      </w:r>
      <w:r>
        <w:rPr>
          <w:sz w:val="28"/>
          <w:szCs w:val="28"/>
        </w:rPr>
        <w:t xml:space="preserve"> (в ред. от </w:t>
      </w:r>
      <w:r w:rsidR="00846094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846094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846094">
        <w:rPr>
          <w:sz w:val="28"/>
          <w:szCs w:val="28"/>
        </w:rPr>
        <w:t>13</w:t>
      </w:r>
      <w:r>
        <w:rPr>
          <w:sz w:val="28"/>
          <w:szCs w:val="28"/>
        </w:rPr>
        <w:t>г. №</w:t>
      </w:r>
      <w:r w:rsidR="00846094">
        <w:rPr>
          <w:sz w:val="28"/>
          <w:szCs w:val="28"/>
        </w:rPr>
        <w:t>96</w:t>
      </w:r>
      <w:r>
        <w:rPr>
          <w:sz w:val="28"/>
          <w:szCs w:val="28"/>
        </w:rPr>
        <w:t>).</w:t>
      </w:r>
      <w:r w:rsidR="008965ED">
        <w:rPr>
          <w:sz w:val="28"/>
          <w:szCs w:val="28"/>
        </w:rPr>
        <w:t xml:space="preserve"> С 2009 года в отношении бюджета Репьевского муниципального района</w:t>
      </w:r>
      <w:r w:rsidR="00253DEE">
        <w:rPr>
          <w:sz w:val="28"/>
          <w:szCs w:val="28"/>
        </w:rPr>
        <w:t xml:space="preserve"> применяются дополнительные меры</w:t>
      </w:r>
      <w:r w:rsidR="0094496E">
        <w:rPr>
          <w:sz w:val="28"/>
          <w:szCs w:val="28"/>
        </w:rPr>
        <w:t>,</w:t>
      </w:r>
      <w:r w:rsidR="00253DEE">
        <w:rPr>
          <w:sz w:val="28"/>
          <w:szCs w:val="28"/>
        </w:rPr>
        <w:t xml:space="preserve"> установленные п.4, ст.136 БК РФ, а также Постановлением администрации Воронежской области №154 от 27.02.2008г.</w:t>
      </w:r>
    </w:p>
    <w:p w:rsidR="00B10A16" w:rsidRDefault="009153DE" w:rsidP="00B10A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 бюджета на 201</w:t>
      </w:r>
      <w:r w:rsidR="00B0707C">
        <w:rPr>
          <w:sz w:val="28"/>
          <w:szCs w:val="28"/>
        </w:rPr>
        <w:t>8</w:t>
      </w:r>
      <w:r>
        <w:rPr>
          <w:sz w:val="28"/>
          <w:szCs w:val="28"/>
        </w:rPr>
        <w:t xml:space="preserve"> год утвержден </w:t>
      </w:r>
      <w:r w:rsidR="0094496E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администрации Репьевского муниципального района от </w:t>
      </w:r>
      <w:r w:rsidR="00B0707C">
        <w:rPr>
          <w:sz w:val="28"/>
          <w:szCs w:val="28"/>
        </w:rPr>
        <w:t>14</w:t>
      </w:r>
      <w:r>
        <w:rPr>
          <w:sz w:val="28"/>
          <w:szCs w:val="28"/>
        </w:rPr>
        <w:t>.11.201</w:t>
      </w:r>
      <w:r w:rsidR="00B0707C">
        <w:rPr>
          <w:sz w:val="28"/>
          <w:szCs w:val="28"/>
        </w:rPr>
        <w:t>7</w:t>
      </w:r>
      <w:r>
        <w:rPr>
          <w:sz w:val="28"/>
          <w:szCs w:val="28"/>
        </w:rPr>
        <w:t>г. №</w:t>
      </w:r>
      <w:r w:rsidR="00B0707C">
        <w:rPr>
          <w:sz w:val="28"/>
          <w:szCs w:val="28"/>
        </w:rPr>
        <w:t>351</w:t>
      </w:r>
      <w:r>
        <w:rPr>
          <w:sz w:val="28"/>
          <w:szCs w:val="28"/>
        </w:rPr>
        <w:t xml:space="preserve"> «Об утверждении проекта бюджета Репьевского муниципального района на 201</w:t>
      </w:r>
      <w:r w:rsidR="00B0707C">
        <w:rPr>
          <w:sz w:val="28"/>
          <w:szCs w:val="28"/>
        </w:rPr>
        <w:t>8</w:t>
      </w:r>
      <w:r>
        <w:rPr>
          <w:sz w:val="28"/>
          <w:szCs w:val="28"/>
        </w:rPr>
        <w:t>год</w:t>
      </w:r>
      <w:r w:rsidR="00E72AFD">
        <w:rPr>
          <w:sz w:val="28"/>
          <w:szCs w:val="28"/>
        </w:rPr>
        <w:t xml:space="preserve"> и плановый период 201</w:t>
      </w:r>
      <w:r w:rsidR="00B0707C">
        <w:rPr>
          <w:sz w:val="28"/>
          <w:szCs w:val="28"/>
        </w:rPr>
        <w:t>9</w:t>
      </w:r>
      <w:r w:rsidR="00E72AFD">
        <w:rPr>
          <w:sz w:val="28"/>
          <w:szCs w:val="28"/>
        </w:rPr>
        <w:t xml:space="preserve"> и 20</w:t>
      </w:r>
      <w:r w:rsidR="00B0707C">
        <w:rPr>
          <w:sz w:val="28"/>
          <w:szCs w:val="28"/>
        </w:rPr>
        <w:t>20</w:t>
      </w:r>
      <w:r w:rsidR="00E72AFD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 Составление проекта бюджета основывалось на  прогнозе социально-экономического развития Репьевского муниципального района, основных направлениях бюджетной и налоговой политики.</w:t>
      </w:r>
      <w:r w:rsidR="00B10A16">
        <w:rPr>
          <w:sz w:val="28"/>
          <w:szCs w:val="28"/>
        </w:rPr>
        <w:t>В соответствии со ст. 184.2 БК РФ в Постановлении «</w:t>
      </w:r>
      <w:r w:rsidR="0094496E">
        <w:rPr>
          <w:sz w:val="28"/>
          <w:szCs w:val="28"/>
        </w:rPr>
        <w:t>О</w:t>
      </w:r>
      <w:r w:rsidR="00B10A16">
        <w:rPr>
          <w:sz w:val="28"/>
          <w:szCs w:val="28"/>
        </w:rPr>
        <w:t>б утверждении проекта бюджета Репьевского муниципального района на 201</w:t>
      </w:r>
      <w:r w:rsidR="00B0707C">
        <w:rPr>
          <w:sz w:val="28"/>
          <w:szCs w:val="28"/>
        </w:rPr>
        <w:t>8</w:t>
      </w:r>
      <w:r w:rsidR="00B10A16">
        <w:rPr>
          <w:sz w:val="28"/>
          <w:szCs w:val="28"/>
        </w:rPr>
        <w:t xml:space="preserve"> год</w:t>
      </w:r>
      <w:r w:rsidR="00E72AFD">
        <w:rPr>
          <w:sz w:val="28"/>
          <w:szCs w:val="28"/>
        </w:rPr>
        <w:t xml:space="preserve"> и плановый период 201</w:t>
      </w:r>
      <w:r w:rsidR="00B0707C">
        <w:rPr>
          <w:sz w:val="28"/>
          <w:szCs w:val="28"/>
        </w:rPr>
        <w:t>9</w:t>
      </w:r>
      <w:r w:rsidR="00E72AFD">
        <w:rPr>
          <w:sz w:val="28"/>
          <w:szCs w:val="28"/>
        </w:rPr>
        <w:t xml:space="preserve"> и 20</w:t>
      </w:r>
      <w:r w:rsidR="00B0707C">
        <w:rPr>
          <w:sz w:val="28"/>
          <w:szCs w:val="28"/>
        </w:rPr>
        <w:t>20</w:t>
      </w:r>
      <w:r w:rsidR="00E72AFD">
        <w:rPr>
          <w:sz w:val="28"/>
          <w:szCs w:val="28"/>
        </w:rPr>
        <w:t xml:space="preserve"> годов</w:t>
      </w:r>
      <w:r w:rsidR="00B10A16">
        <w:rPr>
          <w:sz w:val="28"/>
          <w:szCs w:val="28"/>
        </w:rPr>
        <w:t xml:space="preserve">» утверждены: основные направления бюджетной и налоговой политики, прогноз социально-экономического развития, пояснительная записка к проекту бюджета, методики и расчеты распределения межбюджетных трансфертов, верхний предел муниципального долга, программа муниципальных внутренних заимствований. </w:t>
      </w:r>
    </w:p>
    <w:p w:rsidR="00BF3BC7" w:rsidRDefault="00B27168" w:rsidP="00B10A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Налоговая политика Репьевского муниципального района направлена на сохранение и дальнейшее расширение налогооблагаемой базы. Для этого планируется проведение работы по привлечению инвестиций, сокращению недоимки по платежам в бюджет, мероприятия в отношении недвижимого имущества физических лиц, а также муниципального имущества, легализации заработной платы, повышения качества налогового администрирования, проведение </w:t>
      </w:r>
      <w:r w:rsidR="00BF3BC7">
        <w:rPr>
          <w:sz w:val="28"/>
          <w:szCs w:val="28"/>
        </w:rPr>
        <w:t>информационной работы среди населения, направленной на повышение собираемости налогов.</w:t>
      </w:r>
    </w:p>
    <w:p w:rsidR="00B0707C" w:rsidRDefault="00BF3BC7" w:rsidP="00B10A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Бюджетной политикой Репьевского муниципального района на 2018 год и плановый период 2019 и 2020 годы определены цели и задачи. В основных целях бюджетной политики указаны условия и подходы при формировании бюджета, а также необходимое обеспечение прозрачности, стабильности и устойчивости бюджетной системы Репьевского муниципального района</w:t>
      </w:r>
      <w:r w:rsidR="00E02940">
        <w:rPr>
          <w:sz w:val="28"/>
          <w:szCs w:val="28"/>
        </w:rPr>
        <w:t>. Определены задачи дляэффективного исполнения принятых обязательств, в ближайшие три года. Бюджетная политика в период 2018-2020годов будет реализовываться на основе бюджетных принципов.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9"/>
      </w:tblGrid>
      <w:tr w:rsidR="000D19CD" w:rsidRPr="00583EC8" w:rsidTr="008E047C">
        <w:trPr>
          <w:tblCellSpacing w:w="15" w:type="dxa"/>
        </w:trPr>
        <w:tc>
          <w:tcPr>
            <w:tcW w:w="9789" w:type="dxa"/>
            <w:tcMar>
              <w:top w:w="150" w:type="dxa"/>
              <w:left w:w="150" w:type="dxa"/>
              <w:bottom w:w="150" w:type="dxa"/>
              <w:right w:w="0" w:type="dxa"/>
            </w:tcMar>
          </w:tcPr>
          <w:p w:rsidR="003F596C" w:rsidRPr="00583EC8" w:rsidRDefault="009153DE" w:rsidP="004B0D8F">
            <w:pPr>
              <w:jc w:val="both"/>
              <w:outlineLvl w:val="0"/>
              <w:rPr>
                <w:rFonts w:ascii="Verdana" w:hAnsi="Verdana" w:cs="Tahoma"/>
                <w:color w:val="000000"/>
                <w:kern w:val="36"/>
                <w:sz w:val="27"/>
                <w:szCs w:val="27"/>
              </w:rPr>
            </w:pPr>
            <w:r>
              <w:rPr>
                <w:sz w:val="28"/>
                <w:szCs w:val="28"/>
              </w:rPr>
              <w:tab/>
            </w:r>
            <w:r w:rsidRPr="00B06EE5">
              <w:rPr>
                <w:sz w:val="28"/>
                <w:szCs w:val="28"/>
              </w:rPr>
              <w:t xml:space="preserve">Прогноз социально-экономического развития Репьевского муниципального района Воронежской области на </w:t>
            </w:r>
            <w:r w:rsidR="00D37951" w:rsidRPr="00B06EE5">
              <w:rPr>
                <w:sz w:val="28"/>
                <w:szCs w:val="28"/>
              </w:rPr>
              <w:t>период до 20</w:t>
            </w:r>
            <w:r w:rsidR="00B0707C">
              <w:rPr>
                <w:sz w:val="28"/>
                <w:szCs w:val="28"/>
              </w:rPr>
              <w:t>20</w:t>
            </w:r>
            <w:r w:rsidR="00D37951" w:rsidRPr="00B06EE5">
              <w:rPr>
                <w:sz w:val="28"/>
                <w:szCs w:val="28"/>
              </w:rPr>
              <w:t>г</w:t>
            </w:r>
            <w:r w:rsidRPr="00B06EE5">
              <w:rPr>
                <w:sz w:val="28"/>
                <w:szCs w:val="28"/>
              </w:rPr>
              <w:t xml:space="preserve">. подготовлен отделом по экономике, управлению муниципальным имуществом администрации Репьевского муниципального района. </w:t>
            </w:r>
            <w:r w:rsidR="00AE16C0">
              <w:rPr>
                <w:sz w:val="28"/>
                <w:szCs w:val="28"/>
              </w:rPr>
              <w:t xml:space="preserve">Объем инвестиций в </w:t>
            </w:r>
            <w:r w:rsidR="00AE16C0">
              <w:rPr>
                <w:sz w:val="28"/>
                <w:szCs w:val="28"/>
              </w:rPr>
              <w:lastRenderedPageBreak/>
              <w:t>основной капитал по предприятиям и организациям Репьевского муниципального района на 2017 год прогнозируется на уровне 74% к предыдущему году. Снижение связано с окончанием строительства водозабора в с.Репьевка. С 2018 года наблюдается стабилизация в 2018 году (79%) в 2019-2020 годах Прогноз закрепляет тенденции роста инвестиций в экономику района. Утверждена стратегия социально-экономического развития района,реализуются новые инвестиционные проекты.</w:t>
            </w:r>
            <w:r w:rsidR="00531077">
              <w:rPr>
                <w:sz w:val="28"/>
                <w:szCs w:val="28"/>
              </w:rPr>
              <w:t xml:space="preserve"> В целях улучшения «инвестиционного климата» проведена работа по формированию инвестиционо-привлекательных земельных участков, предлагаемых для размещения производства в аграрном секторе и промышленном производстве. Сформировано 9 инвестиционных площадок с соответствующей инфраструктурой. Район имеет статус «с особой системой государственной поддержки», что дает району и инвесторам дополнительные льготы по налогам, а также определенные приоритеты при распределении денежных средств из областного бюджета. На период 2018-2020 годы поданы бюджетные заявки на строительство и реконструкцию объектов муниципальной собственности. По Прогнозу общий объем инвестиций в основной капитал по территории района составит в 2018г. – 466,9 млн. рублей 9темп роста к уровню 2017 года – 102,1%), в 2019 году – 496,3 млн. рублей (темп роста к уровню 2018 года – 101,8%), в 2020 году – 523,8 млн. рублей (темп роста к уровню 2019 года – 101,4%).</w:t>
            </w:r>
            <w:r w:rsidR="002033F6">
              <w:rPr>
                <w:sz w:val="28"/>
                <w:szCs w:val="28"/>
              </w:rPr>
              <w:t xml:space="preserve"> В 2018-2020 годах в Репьевском муниципальном районе прогнозируется среднегодовые темпы прироста производства сельхозпродукции на уровне 1,1%. Увеличение планируется обеспечить за счет увеличения урожайности сельскохозяйственных культур, а также за счет увеличения поголовья скота.На территории муниципального района реализуется инвестиционный проект в сфере отрасли животноводства «Строительство животноводческого комплекса по откорму и выращиванию молодняка КРС на 2100 голов» В ООО «Истобное». В прогнозном периоде динамику развития промышленности в районе будут определять</w:t>
            </w:r>
            <w:r w:rsidR="003F596C">
              <w:rPr>
                <w:sz w:val="28"/>
                <w:szCs w:val="28"/>
              </w:rPr>
              <w:t xml:space="preserve"> ООО РУК «Репьевская», относящаяся к виду деятельности «Водоснабжение; водоотведение, организация сбора и утилизации отходов, деятельность по ликвидации загрязнений», ООО «Тепловое и гостиничное хозяйство», по виду деятельности «Обеспечение электрической энергией, газом и паром; кондиционирование воздуха» и ООО «Синтез-Ойл» по виду деятельности «производство рафинированных растительных масел и их фракций». </w:t>
            </w:r>
            <w:r w:rsidR="007C1B84">
              <w:rPr>
                <w:sz w:val="28"/>
                <w:szCs w:val="28"/>
              </w:rPr>
              <w:t>В 2018-2020 годах наблюдается рост инвестиционной деятельности с участием малых предприятий, что позволит привлечь новые инвестиции в экономику района, а также увеличить объемы производства товаров, работ и услуг, создать новые рабочие места. Создание новых производств, повышение уровня оплаты труда в бюджетном секторе экономики и предполагаемое замедление инфляции окажут влияние на ежегодный рост реальных денежных доходов населения Репьевского муниципального района.</w:t>
            </w:r>
            <w:r w:rsidR="004B0D8F">
              <w:rPr>
                <w:sz w:val="28"/>
                <w:szCs w:val="28"/>
              </w:rPr>
              <w:t xml:space="preserve"> Рост доходов населения, в свою очередь, позволяет прогнозировать среднегодовой темп роста оборота розничной торговли в размере 104%.</w:t>
            </w:r>
          </w:p>
        </w:tc>
      </w:tr>
    </w:tbl>
    <w:p w:rsidR="00185852" w:rsidRDefault="00185852" w:rsidP="00D379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Постановлением администрации Репьевского муниципального района №</w:t>
      </w:r>
      <w:r w:rsidR="00237555">
        <w:rPr>
          <w:sz w:val="28"/>
          <w:szCs w:val="28"/>
        </w:rPr>
        <w:t>351</w:t>
      </w:r>
      <w:r>
        <w:rPr>
          <w:sz w:val="28"/>
          <w:szCs w:val="28"/>
        </w:rPr>
        <w:t xml:space="preserve"> от </w:t>
      </w:r>
      <w:r w:rsidR="00237555">
        <w:rPr>
          <w:sz w:val="28"/>
          <w:szCs w:val="28"/>
        </w:rPr>
        <w:t>14</w:t>
      </w:r>
      <w:r>
        <w:rPr>
          <w:sz w:val="28"/>
          <w:szCs w:val="28"/>
        </w:rPr>
        <w:t>.11.201</w:t>
      </w:r>
      <w:r w:rsidR="00237555">
        <w:rPr>
          <w:sz w:val="28"/>
          <w:szCs w:val="28"/>
        </w:rPr>
        <w:t>7</w:t>
      </w:r>
      <w:r>
        <w:rPr>
          <w:sz w:val="28"/>
          <w:szCs w:val="28"/>
        </w:rPr>
        <w:t>г. утверждены основные характеристики бюджета:</w:t>
      </w:r>
    </w:p>
    <w:p w:rsidR="00A14A07" w:rsidRDefault="00A14A07" w:rsidP="00D37951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237555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185852" w:rsidRDefault="00185852" w:rsidP="00D37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общий объем доходов в сумме  </w:t>
      </w:r>
      <w:r w:rsidR="00237555">
        <w:rPr>
          <w:sz w:val="28"/>
          <w:szCs w:val="28"/>
        </w:rPr>
        <w:t>262017,1</w:t>
      </w:r>
      <w:r>
        <w:rPr>
          <w:sz w:val="28"/>
          <w:szCs w:val="28"/>
        </w:rPr>
        <w:t>тыс. рублей;</w:t>
      </w:r>
    </w:p>
    <w:p w:rsidR="00A14A07" w:rsidRDefault="00185852" w:rsidP="00D3795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прогнозируемый общий объем расходов</w:t>
      </w:r>
      <w:r w:rsidR="002F73E6">
        <w:rPr>
          <w:sz w:val="28"/>
          <w:szCs w:val="28"/>
        </w:rPr>
        <w:t xml:space="preserve"> в сумме </w:t>
      </w:r>
      <w:r w:rsidR="00237555">
        <w:rPr>
          <w:sz w:val="28"/>
          <w:szCs w:val="28"/>
        </w:rPr>
        <w:t>264440,8</w:t>
      </w:r>
      <w:r w:rsidR="002F73E6">
        <w:rPr>
          <w:sz w:val="28"/>
          <w:szCs w:val="28"/>
        </w:rPr>
        <w:t>тыс. рублей</w:t>
      </w:r>
      <w:r w:rsidR="00A14A07">
        <w:rPr>
          <w:sz w:val="28"/>
          <w:szCs w:val="28"/>
        </w:rPr>
        <w:t>;</w:t>
      </w:r>
    </w:p>
    <w:p w:rsidR="00155251" w:rsidRDefault="00A14A07" w:rsidP="002375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прогнозируемый </w:t>
      </w:r>
      <w:r w:rsidR="00237555">
        <w:rPr>
          <w:sz w:val="28"/>
          <w:szCs w:val="28"/>
        </w:rPr>
        <w:t>дефицит</w:t>
      </w:r>
      <w:r w:rsidR="002F73E6">
        <w:rPr>
          <w:sz w:val="28"/>
          <w:szCs w:val="28"/>
        </w:rPr>
        <w:t xml:space="preserve"> составил </w:t>
      </w:r>
      <w:r w:rsidR="00237555">
        <w:rPr>
          <w:sz w:val="28"/>
          <w:szCs w:val="28"/>
        </w:rPr>
        <w:t>2423,7</w:t>
      </w:r>
      <w:r w:rsidR="00923503">
        <w:rPr>
          <w:sz w:val="28"/>
          <w:szCs w:val="28"/>
        </w:rPr>
        <w:t>тыс. рублей</w:t>
      </w:r>
      <w:r w:rsidR="00237555">
        <w:rPr>
          <w:sz w:val="28"/>
          <w:szCs w:val="28"/>
        </w:rPr>
        <w:t xml:space="preserve"> или 4,6%годового объема доходов бюджета без учета утвержденного объема безвозмездных поступлений</w:t>
      </w:r>
      <w:r w:rsidR="008B65BA">
        <w:rPr>
          <w:sz w:val="28"/>
          <w:szCs w:val="28"/>
        </w:rPr>
        <w:t>.</w:t>
      </w:r>
    </w:p>
    <w:p w:rsidR="00A14A07" w:rsidRDefault="00A14A07" w:rsidP="00D37951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237555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A14A07" w:rsidRDefault="00A14A07" w:rsidP="00A14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общий объем доходов  в сумме  </w:t>
      </w:r>
      <w:r w:rsidR="00237555">
        <w:rPr>
          <w:sz w:val="28"/>
          <w:szCs w:val="28"/>
        </w:rPr>
        <w:t>203630,5</w:t>
      </w:r>
      <w:r>
        <w:rPr>
          <w:sz w:val="28"/>
          <w:szCs w:val="28"/>
        </w:rPr>
        <w:t>тыс. рублей;</w:t>
      </w:r>
    </w:p>
    <w:p w:rsidR="00A14A07" w:rsidRDefault="00A14A07" w:rsidP="001A3A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общий объем расходов в сумме </w:t>
      </w:r>
      <w:r w:rsidR="00237555">
        <w:rPr>
          <w:sz w:val="28"/>
          <w:szCs w:val="28"/>
        </w:rPr>
        <w:t>206423,5</w:t>
      </w:r>
      <w:r>
        <w:rPr>
          <w:sz w:val="28"/>
          <w:szCs w:val="28"/>
        </w:rPr>
        <w:t>тыс. рублей</w:t>
      </w:r>
      <w:r w:rsidR="001A3A74">
        <w:rPr>
          <w:sz w:val="28"/>
          <w:szCs w:val="28"/>
        </w:rPr>
        <w:t>, в том числе условно утвержденные расходы в сумме 5161 тыс. рублей или 2,5% общего объема расходов бюджета (без учета расходов бюджета, предусмотренных за счет межбюджетных трансфертов из других бюджетов бюджетной системы, имеющих целевое назначение)</w:t>
      </w:r>
      <w:r>
        <w:rPr>
          <w:sz w:val="28"/>
          <w:szCs w:val="28"/>
        </w:rPr>
        <w:t>;</w:t>
      </w:r>
    </w:p>
    <w:p w:rsidR="00A14A07" w:rsidRDefault="00A14A07" w:rsidP="007E0F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</w:t>
      </w:r>
      <w:r w:rsidR="00237555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составил </w:t>
      </w:r>
      <w:r w:rsidR="00237555">
        <w:rPr>
          <w:sz w:val="28"/>
          <w:szCs w:val="28"/>
        </w:rPr>
        <w:t>2793</w:t>
      </w:r>
      <w:r>
        <w:rPr>
          <w:sz w:val="28"/>
          <w:szCs w:val="28"/>
        </w:rPr>
        <w:t>тыс. рублей</w:t>
      </w:r>
      <w:r w:rsidR="00237555">
        <w:rPr>
          <w:sz w:val="28"/>
          <w:szCs w:val="28"/>
        </w:rPr>
        <w:t xml:space="preserve"> или 4,9% годового объема доходов бюджета без учета утвержденного объема безвозмездных поступлений</w:t>
      </w:r>
      <w:r>
        <w:rPr>
          <w:sz w:val="28"/>
          <w:szCs w:val="28"/>
        </w:rPr>
        <w:t>.</w:t>
      </w:r>
    </w:p>
    <w:p w:rsidR="00A14A07" w:rsidRDefault="00A14A07" w:rsidP="00A14A07">
      <w:pPr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7E0F50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A14A07" w:rsidRDefault="00A14A07" w:rsidP="00A14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общий объем доходов  в сумме  </w:t>
      </w:r>
      <w:r w:rsidR="007E0F50">
        <w:rPr>
          <w:sz w:val="28"/>
          <w:szCs w:val="28"/>
        </w:rPr>
        <w:t>217755,3</w:t>
      </w:r>
      <w:r>
        <w:rPr>
          <w:sz w:val="28"/>
          <w:szCs w:val="28"/>
        </w:rPr>
        <w:t>тыс. рублей;</w:t>
      </w:r>
    </w:p>
    <w:p w:rsidR="00A14A07" w:rsidRDefault="00A14A07" w:rsidP="001A3A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общий объем расходов в сумме </w:t>
      </w:r>
      <w:r w:rsidR="007E0F50">
        <w:rPr>
          <w:sz w:val="28"/>
          <w:szCs w:val="28"/>
        </w:rPr>
        <w:t>220737,3</w:t>
      </w:r>
      <w:r>
        <w:rPr>
          <w:sz w:val="28"/>
          <w:szCs w:val="28"/>
        </w:rPr>
        <w:t>тыс. рублей</w:t>
      </w:r>
      <w:r w:rsidR="001A3A74">
        <w:rPr>
          <w:sz w:val="28"/>
          <w:szCs w:val="28"/>
        </w:rPr>
        <w:t>, в т.ч. условно утвержденные расходы в сумме 11037 тыс. рублей общего объема расходов бюджета (без учета расходов бюджета, предусмотренных за счет межбюджетных трансфертов из других бюджетов бюджетной системы, имеющих целевое назначение)</w:t>
      </w:r>
      <w:r>
        <w:rPr>
          <w:sz w:val="28"/>
          <w:szCs w:val="28"/>
        </w:rPr>
        <w:t>;</w:t>
      </w:r>
    </w:p>
    <w:p w:rsidR="00A14A07" w:rsidRDefault="00A14A07" w:rsidP="007E0F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0F50">
        <w:rPr>
          <w:sz w:val="28"/>
          <w:szCs w:val="28"/>
        </w:rPr>
        <w:t>прогнозируемый дефицит составит 2982 тыс. рублей или 5%годового объема доходов бюджета без учета утвержденного объема безвозмездных поступлений</w:t>
      </w:r>
      <w:r>
        <w:rPr>
          <w:sz w:val="28"/>
          <w:szCs w:val="28"/>
        </w:rPr>
        <w:t>.</w:t>
      </w:r>
    </w:p>
    <w:p w:rsidR="00494F3D" w:rsidRDefault="002F73E6" w:rsidP="00155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приложении №1 к проекту бюджета утверждены источники внутреннего финансирования дефицита бюджета</w:t>
      </w:r>
      <w:r w:rsidR="00127E72">
        <w:rPr>
          <w:sz w:val="28"/>
          <w:szCs w:val="28"/>
        </w:rPr>
        <w:t>, которые предусматривают бюджетные кредиты, а также изменение остатков средств на счетах по учету средств бюджета</w:t>
      </w:r>
      <w:proofErr w:type="gramStart"/>
      <w:r>
        <w:rPr>
          <w:sz w:val="28"/>
          <w:szCs w:val="28"/>
        </w:rPr>
        <w:t>.</w:t>
      </w:r>
      <w:r w:rsidR="00923503">
        <w:rPr>
          <w:sz w:val="28"/>
          <w:szCs w:val="28"/>
        </w:rPr>
        <w:t>С</w:t>
      </w:r>
      <w:proofErr w:type="gramEnd"/>
      <w:r w:rsidR="00923503">
        <w:rPr>
          <w:sz w:val="28"/>
          <w:szCs w:val="28"/>
        </w:rPr>
        <w:t>ледует отметить, что в 201</w:t>
      </w:r>
      <w:r w:rsidR="001A3A74">
        <w:rPr>
          <w:sz w:val="28"/>
          <w:szCs w:val="28"/>
        </w:rPr>
        <w:t>8</w:t>
      </w:r>
      <w:r w:rsidR="00127E72">
        <w:rPr>
          <w:sz w:val="28"/>
          <w:szCs w:val="28"/>
        </w:rPr>
        <w:t>и 201</w:t>
      </w:r>
      <w:r w:rsidR="001A3A74">
        <w:rPr>
          <w:sz w:val="28"/>
          <w:szCs w:val="28"/>
        </w:rPr>
        <w:t>9-2020 годах</w:t>
      </w:r>
      <w:r w:rsidR="00923503">
        <w:rPr>
          <w:sz w:val="28"/>
          <w:szCs w:val="28"/>
        </w:rPr>
        <w:t xml:space="preserve"> планируется только погашение кредитов от других бюджетов бюджетной системы.</w:t>
      </w:r>
      <w:r w:rsidR="00596B07">
        <w:rPr>
          <w:sz w:val="28"/>
          <w:szCs w:val="28"/>
        </w:rPr>
        <w:t>Состав источников финансирования дефицита соответствует ст. 96 БК РФ.</w:t>
      </w:r>
    </w:p>
    <w:p w:rsidR="00D4043B" w:rsidRDefault="00494F3D" w:rsidP="006857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2E13">
        <w:rPr>
          <w:sz w:val="28"/>
          <w:szCs w:val="28"/>
        </w:rPr>
        <w:t>Доходная</w:t>
      </w:r>
      <w:r>
        <w:rPr>
          <w:sz w:val="28"/>
          <w:szCs w:val="28"/>
        </w:rPr>
        <w:t xml:space="preserve"> база бюджета района на 201</w:t>
      </w:r>
      <w:r w:rsidR="001A3A74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1A3A74">
        <w:rPr>
          <w:sz w:val="28"/>
          <w:szCs w:val="28"/>
        </w:rPr>
        <w:t xml:space="preserve"> и плановый период 2019</w:t>
      </w:r>
      <w:r w:rsidR="00D4043B">
        <w:rPr>
          <w:sz w:val="28"/>
          <w:szCs w:val="28"/>
        </w:rPr>
        <w:t>-20</w:t>
      </w:r>
      <w:r w:rsidR="001A3A74">
        <w:rPr>
          <w:sz w:val="28"/>
          <w:szCs w:val="28"/>
        </w:rPr>
        <w:t>20</w:t>
      </w:r>
      <w:r w:rsidR="00D4043B">
        <w:rPr>
          <w:sz w:val="28"/>
          <w:szCs w:val="28"/>
        </w:rPr>
        <w:t>гг.</w:t>
      </w:r>
      <w:r>
        <w:rPr>
          <w:sz w:val="28"/>
          <w:szCs w:val="28"/>
        </w:rPr>
        <w:t xml:space="preserve"> формировалась в соответствии с действующим бюджетным и налоговым законодательством.</w:t>
      </w:r>
      <w:r w:rsidR="008267F6">
        <w:rPr>
          <w:sz w:val="28"/>
          <w:szCs w:val="28"/>
        </w:rPr>
        <w:t xml:space="preserve"> Анализ доходной части представлен в виде диаграммы №5:</w:t>
      </w:r>
    </w:p>
    <w:p w:rsidR="00D4043B" w:rsidRDefault="008267F6" w:rsidP="00D4043B">
      <w:pPr>
        <w:pStyle w:val="a7"/>
        <w:keepNext/>
        <w:jc w:val="both"/>
      </w:pPr>
      <w:r>
        <w:t>Диаграмма</w:t>
      </w:r>
      <w:r w:rsidR="004E16EB">
        <w:t>№</w:t>
      </w:r>
      <w:r w:rsidR="008F6FB9">
        <w:t>5</w:t>
      </w:r>
      <w:r w:rsidR="00D4043B" w:rsidRPr="004E16EB">
        <w:rPr>
          <w:sz w:val="24"/>
          <w:szCs w:val="24"/>
        </w:rPr>
        <w:t>Анализ доходо</w:t>
      </w:r>
      <w:proofErr w:type="gramStart"/>
      <w:r w:rsidR="00D4043B" w:rsidRPr="004E16EB">
        <w:rPr>
          <w:sz w:val="24"/>
          <w:szCs w:val="24"/>
        </w:rPr>
        <w:t>в</w:t>
      </w:r>
      <w:r w:rsidR="00416DEC">
        <w:rPr>
          <w:sz w:val="24"/>
          <w:szCs w:val="24"/>
        </w:rPr>
        <w:t>(</w:t>
      </w:r>
      <w:proofErr w:type="gramEnd"/>
      <w:r w:rsidR="00416DEC">
        <w:rPr>
          <w:sz w:val="24"/>
          <w:szCs w:val="24"/>
        </w:rPr>
        <w:t xml:space="preserve">млн. </w:t>
      </w:r>
      <w:proofErr w:type="spellStart"/>
      <w:r w:rsidR="00416DEC">
        <w:rPr>
          <w:sz w:val="24"/>
          <w:szCs w:val="24"/>
        </w:rPr>
        <w:t>руб</w:t>
      </w:r>
      <w:proofErr w:type="spellEnd"/>
      <w:r w:rsidR="00416DEC">
        <w:rPr>
          <w:sz w:val="24"/>
          <w:szCs w:val="24"/>
        </w:rPr>
        <w:t>)</w:t>
      </w:r>
    </w:p>
    <w:p w:rsidR="00D4043B" w:rsidRDefault="00D4043B" w:rsidP="0068571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579FB" w:rsidRPr="00281A4D" w:rsidRDefault="008267F6" w:rsidP="00425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 показателей мы видим, что собственные доходы имеют небольшую положительную динамику. Объемы безвозмездных поступлений в 2019 году</w:t>
      </w:r>
      <w:r w:rsidR="00416DEC">
        <w:rPr>
          <w:sz w:val="28"/>
          <w:szCs w:val="28"/>
        </w:rPr>
        <w:t xml:space="preserve"> сократятся на 61933,6 тыс. рублей за счетсокращения поступлений межбюджетных трансфертов из областного бюджета на 47725,6 тыс. рублей и отсутствия поступлений из бюджетов сельских поселений. В 2020 году</w:t>
      </w:r>
      <w:r w:rsidR="00425018">
        <w:rPr>
          <w:sz w:val="28"/>
          <w:szCs w:val="28"/>
        </w:rPr>
        <w:t xml:space="preserve"> по сравнению с 2019 годом</w:t>
      </w:r>
      <w:r w:rsidR="00416DEC">
        <w:rPr>
          <w:sz w:val="28"/>
          <w:szCs w:val="28"/>
        </w:rPr>
        <w:t xml:space="preserve"> прогнозируется увеличение поступлений </w:t>
      </w:r>
      <w:r w:rsidR="00425018">
        <w:rPr>
          <w:sz w:val="28"/>
          <w:szCs w:val="28"/>
        </w:rPr>
        <w:t xml:space="preserve">межбюджетных трансфертов </w:t>
      </w:r>
      <w:r w:rsidR="00416DEC">
        <w:rPr>
          <w:sz w:val="28"/>
          <w:szCs w:val="28"/>
        </w:rPr>
        <w:t>из областного бюджета на 10341,8 тыс. рублей</w:t>
      </w:r>
      <w:r w:rsidR="00425018">
        <w:rPr>
          <w:sz w:val="28"/>
          <w:szCs w:val="28"/>
        </w:rPr>
        <w:t xml:space="preserve">, что в динамике дает незначительный рост. Поступлений межбюджетных трансфертов из бюджетов сельских поселений в 2020 году не запланировано. </w:t>
      </w:r>
      <w:r w:rsidR="0003124F">
        <w:rPr>
          <w:sz w:val="28"/>
          <w:szCs w:val="28"/>
        </w:rPr>
        <w:t xml:space="preserve">В </w:t>
      </w:r>
      <w:r w:rsidR="00494F3D">
        <w:rPr>
          <w:sz w:val="28"/>
          <w:szCs w:val="28"/>
        </w:rPr>
        <w:t xml:space="preserve">структуре доходов на долю налоговых и неналоговых доходов приходится </w:t>
      </w:r>
      <w:r w:rsidR="00D4043B">
        <w:rPr>
          <w:sz w:val="28"/>
          <w:szCs w:val="28"/>
        </w:rPr>
        <w:t>в 201</w:t>
      </w:r>
      <w:r w:rsidR="00425018">
        <w:rPr>
          <w:sz w:val="28"/>
          <w:szCs w:val="28"/>
        </w:rPr>
        <w:t>8</w:t>
      </w:r>
      <w:r w:rsidR="00D4043B">
        <w:rPr>
          <w:sz w:val="28"/>
          <w:szCs w:val="28"/>
        </w:rPr>
        <w:t xml:space="preserve"> году </w:t>
      </w:r>
      <w:r w:rsidR="00425018">
        <w:rPr>
          <w:sz w:val="28"/>
          <w:szCs w:val="28"/>
        </w:rPr>
        <w:t>20</w:t>
      </w:r>
      <w:r w:rsidR="00494F3D">
        <w:rPr>
          <w:sz w:val="28"/>
          <w:szCs w:val="28"/>
        </w:rPr>
        <w:t>%,</w:t>
      </w:r>
      <w:r w:rsidR="00612F80">
        <w:rPr>
          <w:sz w:val="28"/>
          <w:szCs w:val="28"/>
        </w:rPr>
        <w:t xml:space="preserve"> в 201</w:t>
      </w:r>
      <w:r w:rsidR="00425018">
        <w:rPr>
          <w:sz w:val="28"/>
          <w:szCs w:val="28"/>
        </w:rPr>
        <w:t>9</w:t>
      </w:r>
      <w:r w:rsidR="00612F80">
        <w:rPr>
          <w:sz w:val="28"/>
          <w:szCs w:val="28"/>
        </w:rPr>
        <w:t xml:space="preserve"> году </w:t>
      </w:r>
      <w:r w:rsidR="00425018">
        <w:rPr>
          <w:sz w:val="28"/>
          <w:szCs w:val="28"/>
        </w:rPr>
        <w:t>27,4</w:t>
      </w:r>
      <w:r w:rsidR="00612F80">
        <w:rPr>
          <w:sz w:val="28"/>
          <w:szCs w:val="28"/>
        </w:rPr>
        <w:t>%, в 20</w:t>
      </w:r>
      <w:r w:rsidR="00425018">
        <w:rPr>
          <w:sz w:val="28"/>
          <w:szCs w:val="28"/>
        </w:rPr>
        <w:t>20</w:t>
      </w:r>
      <w:r w:rsidR="00612F80">
        <w:rPr>
          <w:sz w:val="28"/>
          <w:szCs w:val="28"/>
        </w:rPr>
        <w:t xml:space="preserve"> году </w:t>
      </w:r>
      <w:r w:rsidR="00425018">
        <w:rPr>
          <w:sz w:val="28"/>
          <w:szCs w:val="28"/>
        </w:rPr>
        <w:t>27,3</w:t>
      </w:r>
      <w:r w:rsidR="00612F80">
        <w:rPr>
          <w:sz w:val="28"/>
          <w:szCs w:val="28"/>
        </w:rPr>
        <w:t>%</w:t>
      </w:r>
      <w:r w:rsidR="00494F3D">
        <w:rPr>
          <w:sz w:val="28"/>
          <w:szCs w:val="28"/>
        </w:rPr>
        <w:t xml:space="preserve"> удельный вес безвозмездных поступлений из бюджетов других уровней составит </w:t>
      </w:r>
      <w:r w:rsidR="00612F80">
        <w:rPr>
          <w:sz w:val="28"/>
          <w:szCs w:val="28"/>
        </w:rPr>
        <w:t xml:space="preserve">соответственно </w:t>
      </w:r>
      <w:r w:rsidR="00425018">
        <w:rPr>
          <w:sz w:val="28"/>
          <w:szCs w:val="28"/>
        </w:rPr>
        <w:t>80</w:t>
      </w:r>
      <w:r w:rsidR="00B94328">
        <w:rPr>
          <w:sz w:val="28"/>
          <w:szCs w:val="28"/>
        </w:rPr>
        <w:t>%</w:t>
      </w:r>
      <w:r w:rsidR="00612F80">
        <w:rPr>
          <w:sz w:val="28"/>
          <w:szCs w:val="28"/>
        </w:rPr>
        <w:t xml:space="preserve">, </w:t>
      </w:r>
      <w:r w:rsidR="00425018">
        <w:rPr>
          <w:sz w:val="28"/>
          <w:szCs w:val="28"/>
        </w:rPr>
        <w:t>72,6</w:t>
      </w:r>
      <w:r w:rsidR="00612F80">
        <w:rPr>
          <w:sz w:val="28"/>
          <w:szCs w:val="28"/>
        </w:rPr>
        <w:t>%, 7</w:t>
      </w:r>
      <w:r w:rsidR="00425018">
        <w:rPr>
          <w:sz w:val="28"/>
          <w:szCs w:val="28"/>
        </w:rPr>
        <w:t>2,7</w:t>
      </w:r>
      <w:r w:rsidR="00612F80">
        <w:rPr>
          <w:sz w:val="28"/>
          <w:szCs w:val="28"/>
        </w:rPr>
        <w:t>%</w:t>
      </w:r>
      <w:r w:rsidR="00494F3D">
        <w:rPr>
          <w:sz w:val="28"/>
          <w:szCs w:val="28"/>
        </w:rPr>
        <w:t>.</w:t>
      </w:r>
      <w:r w:rsidR="0068571B">
        <w:rPr>
          <w:sz w:val="28"/>
          <w:szCs w:val="28"/>
        </w:rPr>
        <w:t xml:space="preserve"> Общий объем собственных доходов на 201</w:t>
      </w:r>
      <w:r w:rsidR="00425018">
        <w:rPr>
          <w:sz w:val="28"/>
          <w:szCs w:val="28"/>
        </w:rPr>
        <w:t>8</w:t>
      </w:r>
      <w:r w:rsidR="0068571B">
        <w:rPr>
          <w:sz w:val="28"/>
          <w:szCs w:val="28"/>
        </w:rPr>
        <w:t xml:space="preserve"> год прогнозируется с ростом к уровню прошлого года 1</w:t>
      </w:r>
      <w:r w:rsidR="00612F80">
        <w:rPr>
          <w:sz w:val="28"/>
          <w:szCs w:val="28"/>
        </w:rPr>
        <w:t>0</w:t>
      </w:r>
      <w:r w:rsidR="00425018">
        <w:rPr>
          <w:sz w:val="28"/>
          <w:szCs w:val="28"/>
        </w:rPr>
        <w:t>3,2</w:t>
      </w:r>
      <w:r w:rsidR="0068571B">
        <w:rPr>
          <w:sz w:val="28"/>
          <w:szCs w:val="28"/>
        </w:rPr>
        <w:t>%</w:t>
      </w:r>
      <w:r w:rsidR="00494F3D">
        <w:rPr>
          <w:sz w:val="28"/>
          <w:szCs w:val="28"/>
        </w:rPr>
        <w:t>.</w:t>
      </w:r>
      <w:r w:rsidR="008579FB" w:rsidRPr="00281A4D">
        <w:rPr>
          <w:sz w:val="28"/>
          <w:szCs w:val="28"/>
        </w:rPr>
        <w:t xml:space="preserve">Структура </w:t>
      </w:r>
      <w:r w:rsidR="00F17BEA" w:rsidRPr="00281A4D">
        <w:rPr>
          <w:sz w:val="28"/>
          <w:szCs w:val="28"/>
        </w:rPr>
        <w:t xml:space="preserve">собственных </w:t>
      </w:r>
      <w:r w:rsidR="008579FB" w:rsidRPr="00281A4D">
        <w:rPr>
          <w:sz w:val="28"/>
          <w:szCs w:val="28"/>
        </w:rPr>
        <w:t xml:space="preserve">доходов представлена в </w:t>
      </w:r>
      <w:r w:rsidR="008F6FB9" w:rsidRPr="00281A4D">
        <w:rPr>
          <w:sz w:val="28"/>
          <w:szCs w:val="28"/>
        </w:rPr>
        <w:t>таблице №5</w:t>
      </w:r>
      <w:r w:rsidR="008579FB" w:rsidRPr="00281A4D">
        <w:rPr>
          <w:sz w:val="28"/>
          <w:szCs w:val="28"/>
        </w:rPr>
        <w:t xml:space="preserve">. </w:t>
      </w:r>
    </w:p>
    <w:p w:rsidR="008579FB" w:rsidRDefault="008579FB" w:rsidP="0068571B">
      <w:pPr>
        <w:jc w:val="both"/>
        <w:rPr>
          <w:sz w:val="28"/>
          <w:szCs w:val="28"/>
        </w:rPr>
      </w:pPr>
    </w:p>
    <w:p w:rsidR="008579FB" w:rsidRDefault="00AB36D3" w:rsidP="008579FB">
      <w:pPr>
        <w:pStyle w:val="a7"/>
        <w:keepNext/>
        <w:jc w:val="both"/>
      </w:pPr>
      <w:r>
        <w:t>Диаграмма</w:t>
      </w:r>
      <w:r w:rsidR="008E3D56">
        <w:t>№</w:t>
      </w:r>
      <w:r w:rsidR="008F6FB9">
        <w:t xml:space="preserve">6 </w:t>
      </w:r>
      <w:r w:rsidR="008579FB" w:rsidRPr="004E16EB">
        <w:rPr>
          <w:sz w:val="24"/>
          <w:szCs w:val="24"/>
        </w:rPr>
        <w:t xml:space="preserve">Структура </w:t>
      </w:r>
      <w:r>
        <w:rPr>
          <w:sz w:val="24"/>
          <w:szCs w:val="24"/>
        </w:rPr>
        <w:t xml:space="preserve">собственных </w:t>
      </w:r>
      <w:r w:rsidR="008579FB" w:rsidRPr="004E16EB">
        <w:rPr>
          <w:sz w:val="24"/>
          <w:szCs w:val="24"/>
        </w:rPr>
        <w:t>доходов</w:t>
      </w:r>
    </w:p>
    <w:p w:rsidR="008579FB" w:rsidRDefault="008579FB" w:rsidP="0068571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420052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81A4D" w:rsidRDefault="008F6FB9" w:rsidP="00AC1F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AB36D3">
        <w:rPr>
          <w:sz w:val="28"/>
          <w:szCs w:val="28"/>
        </w:rPr>
        <w:t>диаграммы</w:t>
      </w:r>
      <w:r>
        <w:rPr>
          <w:sz w:val="28"/>
          <w:szCs w:val="28"/>
        </w:rPr>
        <w:t xml:space="preserve"> №6</w:t>
      </w:r>
      <w:r w:rsidR="00AC1F22">
        <w:rPr>
          <w:sz w:val="28"/>
          <w:szCs w:val="28"/>
        </w:rPr>
        <w:t xml:space="preserve"> «Структура собственных доходов» видно, что планирование доходной части проводилось с устойчивым ростом.</w:t>
      </w:r>
      <w:r w:rsidR="00AB36D3">
        <w:rPr>
          <w:sz w:val="28"/>
          <w:szCs w:val="28"/>
        </w:rPr>
        <w:t xml:space="preserve">Налоговые доходы в структуре собственных доходов за 2018 год составляют 87% (45694 тыс. рублей). Неналоговые доходы составят 13% (6632 тыс. рублей).Прогнозируемые поступления в 2019 году налоговых доходов составит 49097 тыс. рублей (88% в структуре собственных доходов), неналоговые 6776 тыс. рублей (12% в структуре собственных доходов). В 2020 году налоговые поступления планируются в сумме 52726 тыс. рублей (88% в структуре собственных доходов), неналоговые поступления в сумме 6930 тыс. рублей (12% в структуре собственных доходов). </w:t>
      </w:r>
    </w:p>
    <w:p w:rsidR="004B3A39" w:rsidRDefault="00BC2E85" w:rsidP="0068571B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94F3D" w:rsidRPr="00FB6D5B">
        <w:rPr>
          <w:sz w:val="28"/>
          <w:szCs w:val="28"/>
        </w:rPr>
        <w:t>обственны</w:t>
      </w:r>
      <w:r>
        <w:rPr>
          <w:sz w:val="28"/>
          <w:szCs w:val="28"/>
        </w:rPr>
        <w:t>е</w:t>
      </w:r>
      <w:r w:rsidR="00494F3D">
        <w:rPr>
          <w:sz w:val="28"/>
          <w:szCs w:val="28"/>
        </w:rPr>
        <w:t xml:space="preserve"> доход</w:t>
      </w:r>
      <w:r>
        <w:rPr>
          <w:sz w:val="28"/>
          <w:szCs w:val="28"/>
        </w:rPr>
        <w:t>ы</w:t>
      </w:r>
      <w:r w:rsidR="004B66F1">
        <w:rPr>
          <w:sz w:val="28"/>
          <w:szCs w:val="28"/>
        </w:rPr>
        <w:t>представлены в табл</w:t>
      </w:r>
      <w:r>
        <w:rPr>
          <w:sz w:val="28"/>
          <w:szCs w:val="28"/>
        </w:rPr>
        <w:t>ице:</w:t>
      </w:r>
    </w:p>
    <w:p w:rsidR="004B66F1" w:rsidRDefault="004B66F1" w:rsidP="00C04B49">
      <w:pPr>
        <w:jc w:val="right"/>
        <w:rPr>
          <w:sz w:val="28"/>
          <w:szCs w:val="28"/>
        </w:rPr>
      </w:pPr>
    </w:p>
    <w:p w:rsidR="00C04B49" w:rsidRDefault="00C04B49" w:rsidP="00C04B4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(тыс. руб.)</w:t>
      </w:r>
    </w:p>
    <w:tbl>
      <w:tblPr>
        <w:tblStyle w:val="a8"/>
        <w:tblW w:w="0" w:type="auto"/>
        <w:tblLook w:val="04A0"/>
      </w:tblPr>
      <w:tblGrid>
        <w:gridCol w:w="2093"/>
        <w:gridCol w:w="1134"/>
        <w:gridCol w:w="1194"/>
        <w:gridCol w:w="1417"/>
        <w:gridCol w:w="1418"/>
        <w:gridCol w:w="1251"/>
        <w:gridCol w:w="1300"/>
      </w:tblGrid>
      <w:tr w:rsidR="00C04B49" w:rsidTr="008E3D56">
        <w:tc>
          <w:tcPr>
            <w:tcW w:w="20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4B49" w:rsidRDefault="00C04B49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B49" w:rsidRDefault="00C04B49" w:rsidP="00FB6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B6D5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B49" w:rsidRDefault="00C04B49" w:rsidP="00FB6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B6D5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B49" w:rsidRDefault="00C04B49" w:rsidP="00FB6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B6D5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C04B49" w:rsidTr="008E3D56">
        <w:tc>
          <w:tcPr>
            <w:tcW w:w="20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B49" w:rsidRDefault="00C04B49" w:rsidP="00F804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B49" w:rsidRDefault="00C04B49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B49" w:rsidRDefault="00C04B49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%, от общей суммы собств. доходов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B49" w:rsidRDefault="00C04B49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B49" w:rsidRDefault="00C04B49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от общей суммы собств. доходов</w:t>
            </w:r>
          </w:p>
        </w:tc>
        <w:tc>
          <w:tcPr>
            <w:tcW w:w="12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B49" w:rsidRDefault="00C04B49" w:rsidP="00C0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B49" w:rsidRDefault="00C04B49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от общей суммы собств. доходов</w:t>
            </w:r>
          </w:p>
        </w:tc>
      </w:tr>
      <w:tr w:rsidR="00C04B49" w:rsidTr="008E3D56"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:rsidR="00C04B49" w:rsidRDefault="00C04B49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C04B49" w:rsidRDefault="0013642C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33529</w:t>
            </w:r>
          </w:p>
        </w:tc>
        <w:tc>
          <w:tcPr>
            <w:tcW w:w="1194" w:type="dxa"/>
            <w:tcBorders>
              <w:top w:val="double" w:sz="4" w:space="0" w:color="auto"/>
            </w:tcBorders>
            <w:vAlign w:val="center"/>
          </w:tcPr>
          <w:p w:rsidR="00C04B49" w:rsidRDefault="0013642C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C04B49" w:rsidRDefault="0013642C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36089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C04B49" w:rsidRDefault="0013642C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251" w:type="dxa"/>
            <w:tcBorders>
              <w:top w:val="double" w:sz="4" w:space="0" w:color="auto"/>
            </w:tcBorders>
            <w:vAlign w:val="center"/>
          </w:tcPr>
          <w:p w:rsidR="00C04B49" w:rsidRDefault="0013642C" w:rsidP="00C0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38857</w:t>
            </w:r>
          </w:p>
        </w:tc>
        <w:tc>
          <w:tcPr>
            <w:tcW w:w="1300" w:type="dxa"/>
            <w:tcBorders>
              <w:top w:val="double" w:sz="4" w:space="0" w:color="auto"/>
            </w:tcBorders>
            <w:vAlign w:val="center"/>
          </w:tcPr>
          <w:p w:rsidR="00C04B49" w:rsidRDefault="0013642C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C04B49" w:rsidTr="008E3D56">
        <w:tc>
          <w:tcPr>
            <w:tcW w:w="2093" w:type="dxa"/>
            <w:vAlign w:val="center"/>
          </w:tcPr>
          <w:p w:rsidR="00C04B49" w:rsidRDefault="00C04B49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товары</w:t>
            </w:r>
          </w:p>
        </w:tc>
        <w:tc>
          <w:tcPr>
            <w:tcW w:w="1134" w:type="dxa"/>
            <w:vAlign w:val="center"/>
          </w:tcPr>
          <w:p w:rsidR="00C04B49" w:rsidRDefault="0013642C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7565</w:t>
            </w:r>
          </w:p>
        </w:tc>
        <w:tc>
          <w:tcPr>
            <w:tcW w:w="1194" w:type="dxa"/>
            <w:vAlign w:val="center"/>
          </w:tcPr>
          <w:p w:rsidR="00C04B49" w:rsidRDefault="0013642C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1417" w:type="dxa"/>
            <w:vAlign w:val="center"/>
          </w:tcPr>
          <w:p w:rsidR="00C04B49" w:rsidRDefault="0013642C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8235</w:t>
            </w:r>
          </w:p>
        </w:tc>
        <w:tc>
          <w:tcPr>
            <w:tcW w:w="1418" w:type="dxa"/>
            <w:vAlign w:val="center"/>
          </w:tcPr>
          <w:p w:rsidR="00C04B49" w:rsidRDefault="0013642C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1251" w:type="dxa"/>
            <w:vAlign w:val="center"/>
          </w:tcPr>
          <w:p w:rsidR="00C04B49" w:rsidRDefault="0013642C" w:rsidP="00C0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8912</w:t>
            </w:r>
          </w:p>
        </w:tc>
        <w:tc>
          <w:tcPr>
            <w:tcW w:w="1300" w:type="dxa"/>
            <w:vAlign w:val="center"/>
          </w:tcPr>
          <w:p w:rsidR="00C04B49" w:rsidRDefault="0013642C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</w:tr>
      <w:tr w:rsidR="00C04B49" w:rsidTr="008E3D56">
        <w:tc>
          <w:tcPr>
            <w:tcW w:w="2093" w:type="dxa"/>
            <w:vAlign w:val="center"/>
          </w:tcPr>
          <w:p w:rsidR="00C04B49" w:rsidRDefault="008E3D56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C04B49" w:rsidRDefault="0013642C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4115</w:t>
            </w:r>
          </w:p>
        </w:tc>
        <w:tc>
          <w:tcPr>
            <w:tcW w:w="1194" w:type="dxa"/>
            <w:vAlign w:val="center"/>
          </w:tcPr>
          <w:p w:rsidR="00C04B49" w:rsidRDefault="0013642C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C04B49" w:rsidRDefault="0013642C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4273</w:t>
            </w:r>
          </w:p>
        </w:tc>
        <w:tc>
          <w:tcPr>
            <w:tcW w:w="1418" w:type="dxa"/>
            <w:vAlign w:val="center"/>
          </w:tcPr>
          <w:p w:rsidR="00C04B49" w:rsidRDefault="0013642C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51" w:type="dxa"/>
            <w:vAlign w:val="center"/>
          </w:tcPr>
          <w:p w:rsidR="00C04B49" w:rsidRDefault="0013642C" w:rsidP="00C0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4437</w:t>
            </w:r>
          </w:p>
        </w:tc>
        <w:tc>
          <w:tcPr>
            <w:tcW w:w="1300" w:type="dxa"/>
            <w:vAlign w:val="center"/>
          </w:tcPr>
          <w:p w:rsidR="00C04B49" w:rsidRDefault="0013642C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04B49" w:rsidTr="008E3D56">
        <w:tc>
          <w:tcPr>
            <w:tcW w:w="2093" w:type="dxa"/>
            <w:vAlign w:val="center"/>
          </w:tcPr>
          <w:p w:rsidR="00C04B49" w:rsidRDefault="008E3D56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</w:t>
            </w:r>
          </w:p>
        </w:tc>
        <w:tc>
          <w:tcPr>
            <w:tcW w:w="1134" w:type="dxa"/>
            <w:vAlign w:val="center"/>
          </w:tcPr>
          <w:p w:rsidR="00C04B49" w:rsidRDefault="0013642C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2854</w:t>
            </w:r>
          </w:p>
        </w:tc>
        <w:tc>
          <w:tcPr>
            <w:tcW w:w="1194" w:type="dxa"/>
            <w:vAlign w:val="center"/>
          </w:tcPr>
          <w:p w:rsidR="00C04B49" w:rsidRDefault="0013642C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C04B49" w:rsidRDefault="0013642C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2862</w:t>
            </w:r>
          </w:p>
        </w:tc>
        <w:tc>
          <w:tcPr>
            <w:tcW w:w="1418" w:type="dxa"/>
            <w:vAlign w:val="center"/>
          </w:tcPr>
          <w:p w:rsidR="00C04B49" w:rsidRDefault="0013642C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51" w:type="dxa"/>
            <w:vAlign w:val="center"/>
          </w:tcPr>
          <w:p w:rsidR="00C04B49" w:rsidRDefault="0013642C" w:rsidP="00C0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2870</w:t>
            </w:r>
          </w:p>
        </w:tc>
        <w:tc>
          <w:tcPr>
            <w:tcW w:w="1300" w:type="dxa"/>
            <w:vAlign w:val="center"/>
          </w:tcPr>
          <w:p w:rsidR="00C04B49" w:rsidRDefault="0013642C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3642C" w:rsidTr="008E3D56">
        <w:tc>
          <w:tcPr>
            <w:tcW w:w="2093" w:type="dxa"/>
            <w:vAlign w:val="center"/>
          </w:tcPr>
          <w:p w:rsidR="0013642C" w:rsidRDefault="00BC2E85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vAlign w:val="center"/>
          </w:tcPr>
          <w:p w:rsidR="0013642C" w:rsidRDefault="00BC2E85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1194" w:type="dxa"/>
            <w:vAlign w:val="center"/>
          </w:tcPr>
          <w:p w:rsidR="0013642C" w:rsidRDefault="00BC2E85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7" w:type="dxa"/>
            <w:vAlign w:val="center"/>
          </w:tcPr>
          <w:p w:rsidR="0013642C" w:rsidRDefault="00BC2E85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1418" w:type="dxa"/>
            <w:vAlign w:val="center"/>
          </w:tcPr>
          <w:p w:rsidR="0013642C" w:rsidRDefault="00BC2E85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51" w:type="dxa"/>
            <w:vAlign w:val="center"/>
          </w:tcPr>
          <w:p w:rsidR="0013642C" w:rsidRDefault="00BC2E85" w:rsidP="00C0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1300" w:type="dxa"/>
            <w:vAlign w:val="center"/>
          </w:tcPr>
          <w:p w:rsidR="0013642C" w:rsidRDefault="00BC2E85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13642C" w:rsidTr="008E3D56">
        <w:tc>
          <w:tcPr>
            <w:tcW w:w="2093" w:type="dxa"/>
            <w:vAlign w:val="center"/>
          </w:tcPr>
          <w:p w:rsidR="0013642C" w:rsidRDefault="00BC2E85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активов</w:t>
            </w:r>
          </w:p>
        </w:tc>
        <w:tc>
          <w:tcPr>
            <w:tcW w:w="1134" w:type="dxa"/>
            <w:vAlign w:val="center"/>
          </w:tcPr>
          <w:p w:rsidR="0013642C" w:rsidRDefault="00BC2E85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194" w:type="dxa"/>
            <w:vAlign w:val="center"/>
          </w:tcPr>
          <w:p w:rsidR="0013642C" w:rsidRDefault="00BC2E85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7" w:type="dxa"/>
            <w:vAlign w:val="center"/>
          </w:tcPr>
          <w:p w:rsidR="0013642C" w:rsidRDefault="00BC2E85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418" w:type="dxa"/>
            <w:vAlign w:val="center"/>
          </w:tcPr>
          <w:p w:rsidR="0013642C" w:rsidRDefault="00BC2E85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51" w:type="dxa"/>
            <w:vAlign w:val="center"/>
          </w:tcPr>
          <w:p w:rsidR="0013642C" w:rsidRDefault="00BC2E85" w:rsidP="00C0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300" w:type="dxa"/>
            <w:vAlign w:val="center"/>
          </w:tcPr>
          <w:p w:rsidR="0013642C" w:rsidRDefault="00BC2E85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BC2E85" w:rsidTr="008E3D56">
        <w:tc>
          <w:tcPr>
            <w:tcW w:w="2093" w:type="dxa"/>
            <w:vAlign w:val="center"/>
          </w:tcPr>
          <w:p w:rsidR="00BC2E85" w:rsidRDefault="00BC2E85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34" w:type="dxa"/>
            <w:vAlign w:val="center"/>
          </w:tcPr>
          <w:p w:rsidR="00BC2E85" w:rsidRDefault="00BC2E85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</w:t>
            </w:r>
          </w:p>
        </w:tc>
        <w:tc>
          <w:tcPr>
            <w:tcW w:w="1194" w:type="dxa"/>
            <w:vAlign w:val="center"/>
          </w:tcPr>
          <w:p w:rsidR="00BC2E85" w:rsidRDefault="00BC2E85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BC2E85" w:rsidRDefault="00BC2E85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</w:tc>
        <w:tc>
          <w:tcPr>
            <w:tcW w:w="1418" w:type="dxa"/>
            <w:vAlign w:val="center"/>
          </w:tcPr>
          <w:p w:rsidR="00BC2E85" w:rsidRDefault="00BC2E85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1" w:type="dxa"/>
            <w:vAlign w:val="center"/>
          </w:tcPr>
          <w:p w:rsidR="00BC2E85" w:rsidRDefault="00BC2E85" w:rsidP="00C0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</w:t>
            </w:r>
          </w:p>
        </w:tc>
        <w:tc>
          <w:tcPr>
            <w:tcW w:w="1300" w:type="dxa"/>
            <w:vAlign w:val="center"/>
          </w:tcPr>
          <w:p w:rsidR="00BC2E85" w:rsidRDefault="00BC2E85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04B49" w:rsidTr="008E3D56">
        <w:tc>
          <w:tcPr>
            <w:tcW w:w="2093" w:type="dxa"/>
            <w:vAlign w:val="center"/>
          </w:tcPr>
          <w:p w:rsidR="00C04B49" w:rsidRDefault="008E3D56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платных услуг</w:t>
            </w:r>
          </w:p>
        </w:tc>
        <w:tc>
          <w:tcPr>
            <w:tcW w:w="1134" w:type="dxa"/>
            <w:vAlign w:val="center"/>
          </w:tcPr>
          <w:p w:rsidR="00C04B49" w:rsidRDefault="00BC2E85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</w:p>
        </w:tc>
        <w:tc>
          <w:tcPr>
            <w:tcW w:w="1194" w:type="dxa"/>
            <w:vAlign w:val="center"/>
          </w:tcPr>
          <w:p w:rsidR="00C04B49" w:rsidRDefault="00BC2E85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417" w:type="dxa"/>
            <w:vAlign w:val="center"/>
          </w:tcPr>
          <w:p w:rsidR="00C04B49" w:rsidRDefault="00BC2E85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1418" w:type="dxa"/>
            <w:vAlign w:val="center"/>
          </w:tcPr>
          <w:p w:rsidR="00C04B49" w:rsidRDefault="00BC2E85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vAlign w:val="center"/>
          </w:tcPr>
          <w:p w:rsidR="00C04B49" w:rsidRDefault="00BC2E85" w:rsidP="00C0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</w:t>
            </w:r>
          </w:p>
        </w:tc>
        <w:tc>
          <w:tcPr>
            <w:tcW w:w="1300" w:type="dxa"/>
            <w:vAlign w:val="center"/>
          </w:tcPr>
          <w:p w:rsidR="00C04B49" w:rsidRDefault="00BC2E85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4B49" w:rsidTr="008E3D56">
        <w:tc>
          <w:tcPr>
            <w:tcW w:w="2093" w:type="dxa"/>
            <w:vAlign w:val="center"/>
          </w:tcPr>
          <w:p w:rsidR="00C04B49" w:rsidRDefault="008E3D56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134" w:type="dxa"/>
            <w:vAlign w:val="center"/>
          </w:tcPr>
          <w:p w:rsidR="00C04B49" w:rsidRDefault="00BC2E85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1671</w:t>
            </w:r>
          </w:p>
        </w:tc>
        <w:tc>
          <w:tcPr>
            <w:tcW w:w="1194" w:type="dxa"/>
            <w:vAlign w:val="center"/>
          </w:tcPr>
          <w:p w:rsidR="00C04B49" w:rsidRDefault="00BC2E85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417" w:type="dxa"/>
            <w:vAlign w:val="center"/>
          </w:tcPr>
          <w:p w:rsidR="00C04B49" w:rsidRDefault="00BC2E85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1735</w:t>
            </w:r>
          </w:p>
        </w:tc>
        <w:tc>
          <w:tcPr>
            <w:tcW w:w="1418" w:type="dxa"/>
            <w:vAlign w:val="center"/>
          </w:tcPr>
          <w:p w:rsidR="00C04B49" w:rsidRDefault="00BC2E85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251" w:type="dxa"/>
            <w:vAlign w:val="center"/>
          </w:tcPr>
          <w:p w:rsidR="00C04B49" w:rsidRDefault="00BC2E85" w:rsidP="00C04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1802</w:t>
            </w:r>
          </w:p>
        </w:tc>
        <w:tc>
          <w:tcPr>
            <w:tcW w:w="1300" w:type="dxa"/>
            <w:vAlign w:val="center"/>
          </w:tcPr>
          <w:p w:rsidR="00C04B49" w:rsidRDefault="00BC2E85" w:rsidP="00F80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</w:tbl>
    <w:p w:rsidR="000649E7" w:rsidRDefault="000649E7" w:rsidP="00824911">
      <w:pPr>
        <w:ind w:firstLine="708"/>
        <w:jc w:val="both"/>
        <w:rPr>
          <w:sz w:val="28"/>
          <w:szCs w:val="28"/>
        </w:rPr>
      </w:pPr>
    </w:p>
    <w:p w:rsidR="00DE171F" w:rsidRDefault="00BC2E85" w:rsidP="00824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собственных доходов приходится на поступления от налогов на прибыль, доходы</w:t>
      </w:r>
      <w:r w:rsidR="009B1916">
        <w:rPr>
          <w:sz w:val="28"/>
          <w:szCs w:val="28"/>
        </w:rPr>
        <w:t xml:space="preserve"> (64%, 65%, 65%), налогов на товары (14,5%, 14,5%, 15,2%), налогов на совокупный доход (8%, 7%, 7%), доходов от использования имущества (5%, 5%, 5%), прочих неналоговых доходов (3,2%, 3,2%, 3,2%).</w:t>
      </w:r>
      <w:r w:rsidR="008554BA">
        <w:rPr>
          <w:sz w:val="28"/>
          <w:szCs w:val="28"/>
        </w:rPr>
        <w:t xml:space="preserve">Незначительную долю доходов составляют доходы от </w:t>
      </w:r>
      <w:r w:rsidR="009B1916">
        <w:rPr>
          <w:sz w:val="28"/>
          <w:szCs w:val="28"/>
        </w:rPr>
        <w:t xml:space="preserve">штрафов, санкций, возмещения ущерба (2%, 2%, 2%), доходов от оказания платных услуг (1,7%, 1%, 1%)  </w:t>
      </w:r>
      <w:r w:rsidR="008554BA">
        <w:rPr>
          <w:sz w:val="28"/>
          <w:szCs w:val="28"/>
        </w:rPr>
        <w:t xml:space="preserve">государственной пошлины </w:t>
      </w:r>
      <w:r w:rsidR="008E3D56">
        <w:rPr>
          <w:sz w:val="28"/>
          <w:szCs w:val="28"/>
        </w:rPr>
        <w:t>(</w:t>
      </w:r>
      <w:r w:rsidR="009B1916">
        <w:rPr>
          <w:sz w:val="28"/>
          <w:szCs w:val="28"/>
        </w:rPr>
        <w:t>1%, 1%, 1%</w:t>
      </w:r>
      <w:r w:rsidR="008E3D56">
        <w:rPr>
          <w:sz w:val="28"/>
          <w:szCs w:val="28"/>
        </w:rPr>
        <w:t xml:space="preserve">), </w:t>
      </w:r>
      <w:r w:rsidR="008554BA">
        <w:rPr>
          <w:sz w:val="28"/>
          <w:szCs w:val="28"/>
        </w:rPr>
        <w:t>платежей при пользовании природными ресурсами (</w:t>
      </w:r>
      <w:r w:rsidR="009B1916">
        <w:rPr>
          <w:sz w:val="28"/>
          <w:szCs w:val="28"/>
        </w:rPr>
        <w:t>0,3%, 03%, 0,3%</w:t>
      </w:r>
      <w:r w:rsidR="00217EAB">
        <w:rPr>
          <w:sz w:val="28"/>
          <w:szCs w:val="28"/>
        </w:rPr>
        <w:t>)</w:t>
      </w:r>
      <w:r w:rsidR="009B1916">
        <w:rPr>
          <w:sz w:val="28"/>
          <w:szCs w:val="28"/>
        </w:rPr>
        <w:t>, доходов от продажи активов (0,3% 0,3%, 0,3%).</w:t>
      </w:r>
    </w:p>
    <w:p w:rsidR="002D7141" w:rsidRDefault="002D7141" w:rsidP="004E16EB">
      <w:pPr>
        <w:pStyle w:val="a7"/>
        <w:keepNext/>
        <w:jc w:val="both"/>
      </w:pPr>
    </w:p>
    <w:p w:rsidR="004E16EB" w:rsidRPr="004E16EB" w:rsidRDefault="004E16EB" w:rsidP="004E16EB">
      <w:pPr>
        <w:pStyle w:val="a7"/>
        <w:keepNext/>
        <w:jc w:val="both"/>
        <w:rPr>
          <w:sz w:val="24"/>
          <w:szCs w:val="24"/>
        </w:rPr>
      </w:pPr>
      <w:r>
        <w:t xml:space="preserve">Таблица </w:t>
      </w:r>
      <w:r>
        <w:rPr>
          <w:sz w:val="24"/>
          <w:szCs w:val="24"/>
        </w:rPr>
        <w:t xml:space="preserve">Сравнительная диаграмма собственных доходов бюджета Репьевского района </w:t>
      </w:r>
    </w:p>
    <w:p w:rsidR="00DE171F" w:rsidRDefault="00DE171F" w:rsidP="00824911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86400" cy="64008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E171F" w:rsidRDefault="008F6FB9" w:rsidP="00824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таблицы  видно, что п</w:t>
      </w:r>
      <w:r w:rsidR="00590A16">
        <w:rPr>
          <w:sz w:val="28"/>
          <w:szCs w:val="28"/>
        </w:rPr>
        <w:t>о сравнению с 201</w:t>
      </w:r>
      <w:r w:rsidR="00A64318">
        <w:rPr>
          <w:sz w:val="28"/>
          <w:szCs w:val="28"/>
        </w:rPr>
        <w:t>7</w:t>
      </w:r>
      <w:r w:rsidR="00590A16">
        <w:rPr>
          <w:sz w:val="28"/>
          <w:szCs w:val="28"/>
        </w:rPr>
        <w:t xml:space="preserve"> годом, наблюдается рост по доходам от налогов на прибыль сумме </w:t>
      </w:r>
      <w:r w:rsidR="00DD496B">
        <w:rPr>
          <w:sz w:val="28"/>
          <w:szCs w:val="28"/>
        </w:rPr>
        <w:t>3046</w:t>
      </w:r>
      <w:r w:rsidR="00590A16">
        <w:rPr>
          <w:sz w:val="28"/>
          <w:szCs w:val="28"/>
        </w:rPr>
        <w:t xml:space="preserve"> тыс. рублей</w:t>
      </w:r>
      <w:r w:rsidR="00DD496B">
        <w:rPr>
          <w:sz w:val="28"/>
          <w:szCs w:val="28"/>
        </w:rPr>
        <w:t>, по налогам на товары на 736 тыс. рублей</w:t>
      </w:r>
      <w:r w:rsidR="00590A16">
        <w:rPr>
          <w:sz w:val="28"/>
          <w:szCs w:val="28"/>
        </w:rPr>
        <w:t xml:space="preserve">. Наряду с увеличением по вышеперечисленным доходам наблюдается значительное снижение доходов </w:t>
      </w:r>
      <w:r w:rsidR="00DD496B">
        <w:rPr>
          <w:sz w:val="28"/>
          <w:szCs w:val="28"/>
        </w:rPr>
        <w:t>по неналоговым доходам</w:t>
      </w:r>
      <w:r w:rsidR="00590A16">
        <w:rPr>
          <w:sz w:val="28"/>
          <w:szCs w:val="28"/>
        </w:rPr>
        <w:t xml:space="preserve"> на </w:t>
      </w:r>
      <w:r w:rsidR="00DD496B">
        <w:rPr>
          <w:sz w:val="28"/>
          <w:szCs w:val="28"/>
        </w:rPr>
        <w:t>2000</w:t>
      </w:r>
      <w:r w:rsidR="00DE171F">
        <w:rPr>
          <w:sz w:val="28"/>
          <w:szCs w:val="28"/>
        </w:rPr>
        <w:t xml:space="preserve"> тыс. рублей (</w:t>
      </w:r>
      <w:r w:rsidR="00DD496B">
        <w:rPr>
          <w:sz w:val="28"/>
          <w:szCs w:val="28"/>
        </w:rPr>
        <w:t>за счет снижения поступлений от оказания платных услуг, смены статуса образовательных учреждений (Репьевская СОШ, Краснолипьевская СОШ, Новосолдатская ООШ) с казенного на бюджетный)</w:t>
      </w:r>
      <w:r w:rsidR="00590A16">
        <w:rPr>
          <w:sz w:val="28"/>
          <w:szCs w:val="28"/>
        </w:rPr>
        <w:t xml:space="preserve">. </w:t>
      </w:r>
    </w:p>
    <w:p w:rsidR="00DE171F" w:rsidRDefault="00DE171F" w:rsidP="00824911">
      <w:pPr>
        <w:ind w:firstLine="708"/>
        <w:jc w:val="both"/>
        <w:rPr>
          <w:sz w:val="28"/>
          <w:szCs w:val="28"/>
        </w:rPr>
      </w:pPr>
    </w:p>
    <w:p w:rsidR="004B3A39" w:rsidRDefault="008A5885" w:rsidP="00824911">
      <w:pPr>
        <w:ind w:firstLine="708"/>
        <w:jc w:val="both"/>
        <w:rPr>
          <w:sz w:val="28"/>
          <w:szCs w:val="28"/>
        </w:rPr>
      </w:pPr>
      <w:r w:rsidRPr="008A5885">
        <w:rPr>
          <w:sz w:val="28"/>
          <w:szCs w:val="28"/>
        </w:rPr>
        <w:t>В 201</w:t>
      </w:r>
      <w:r w:rsidR="00DD496B">
        <w:rPr>
          <w:sz w:val="28"/>
          <w:szCs w:val="28"/>
        </w:rPr>
        <w:t>8</w:t>
      </w:r>
      <w:r w:rsidR="00590A16" w:rsidRPr="008A5885">
        <w:rPr>
          <w:sz w:val="28"/>
          <w:szCs w:val="28"/>
        </w:rPr>
        <w:t xml:space="preserve"> году</w:t>
      </w:r>
      <w:r w:rsidR="00590A16">
        <w:rPr>
          <w:sz w:val="28"/>
          <w:szCs w:val="28"/>
        </w:rPr>
        <w:t xml:space="preserve"> планируются  безвозмездные поступл</w:t>
      </w:r>
      <w:r>
        <w:rPr>
          <w:sz w:val="28"/>
          <w:szCs w:val="28"/>
        </w:rPr>
        <w:t xml:space="preserve">ения </w:t>
      </w:r>
      <w:r w:rsidR="00DD496B">
        <w:rPr>
          <w:sz w:val="28"/>
          <w:szCs w:val="28"/>
        </w:rPr>
        <w:t>209691,1</w:t>
      </w:r>
      <w:r>
        <w:rPr>
          <w:sz w:val="28"/>
          <w:szCs w:val="28"/>
        </w:rPr>
        <w:t xml:space="preserve"> тыс. рублей, в 201</w:t>
      </w:r>
      <w:r w:rsidR="00DD496B">
        <w:rPr>
          <w:sz w:val="28"/>
          <w:szCs w:val="28"/>
        </w:rPr>
        <w:t>9</w:t>
      </w:r>
      <w:r>
        <w:rPr>
          <w:sz w:val="28"/>
          <w:szCs w:val="28"/>
        </w:rPr>
        <w:t xml:space="preserve"> году – </w:t>
      </w:r>
      <w:r w:rsidR="00DD496B">
        <w:rPr>
          <w:sz w:val="28"/>
          <w:szCs w:val="28"/>
        </w:rPr>
        <w:t>147757,5</w:t>
      </w:r>
      <w:r>
        <w:rPr>
          <w:sz w:val="28"/>
          <w:szCs w:val="28"/>
        </w:rPr>
        <w:t xml:space="preserve"> тыс. рублей, в 20</w:t>
      </w:r>
      <w:r w:rsidR="00DD496B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– 1</w:t>
      </w:r>
      <w:r w:rsidR="00DD496B">
        <w:rPr>
          <w:sz w:val="28"/>
          <w:szCs w:val="28"/>
        </w:rPr>
        <w:t>58099,3</w:t>
      </w:r>
      <w:r>
        <w:rPr>
          <w:sz w:val="28"/>
          <w:szCs w:val="28"/>
        </w:rPr>
        <w:t xml:space="preserve"> тыс. рублей.М</w:t>
      </w:r>
      <w:r w:rsidR="00590A16">
        <w:rPr>
          <w:sz w:val="28"/>
          <w:szCs w:val="28"/>
        </w:rPr>
        <w:t>ежбюджетны</w:t>
      </w:r>
      <w:r>
        <w:rPr>
          <w:sz w:val="28"/>
          <w:szCs w:val="28"/>
        </w:rPr>
        <w:t xml:space="preserve">е трансферты планируется на предоставление дотаций на выравнивание бюджетной обеспеченности, </w:t>
      </w:r>
      <w:r w:rsidR="00362DCE">
        <w:rPr>
          <w:sz w:val="28"/>
          <w:szCs w:val="28"/>
        </w:rPr>
        <w:t>д</w:t>
      </w:r>
      <w:r>
        <w:rPr>
          <w:sz w:val="28"/>
          <w:szCs w:val="28"/>
        </w:rPr>
        <w:t>отации</w:t>
      </w:r>
      <w:r w:rsidR="00362DCE">
        <w:rPr>
          <w:sz w:val="28"/>
          <w:szCs w:val="28"/>
        </w:rPr>
        <w:t xml:space="preserve"> на сбалансированность бюджетов</w:t>
      </w:r>
      <w:r>
        <w:rPr>
          <w:sz w:val="28"/>
          <w:szCs w:val="28"/>
        </w:rPr>
        <w:t>,</w:t>
      </w:r>
      <w:r w:rsidR="00362DCE">
        <w:rPr>
          <w:sz w:val="28"/>
          <w:szCs w:val="28"/>
        </w:rPr>
        <w:t xml:space="preserve"> субсидии на поддержку отрасли культуры, прочие субсидии, </w:t>
      </w:r>
      <w:r>
        <w:rPr>
          <w:sz w:val="28"/>
          <w:szCs w:val="28"/>
        </w:rPr>
        <w:t xml:space="preserve"> субвенции местным бюджетам на выполнение передаваемых полномочий су</w:t>
      </w:r>
      <w:r w:rsidR="005841C2">
        <w:rPr>
          <w:sz w:val="28"/>
          <w:szCs w:val="28"/>
        </w:rPr>
        <w:t xml:space="preserve">бъектов РФ, прочие субвенции, </w:t>
      </w:r>
      <w:r w:rsidR="005841C2" w:rsidRPr="00362DCE">
        <w:rPr>
          <w:sz w:val="28"/>
          <w:szCs w:val="28"/>
        </w:rPr>
        <w:t>иные</w:t>
      </w:r>
      <w:r w:rsidR="005841C2">
        <w:rPr>
          <w:sz w:val="28"/>
          <w:szCs w:val="28"/>
        </w:rPr>
        <w:t xml:space="preserve"> межбюджетные трансферты, передаваемые бюджетам муниципальных образований на осуществление части </w:t>
      </w:r>
      <w:r w:rsidR="005841C2">
        <w:rPr>
          <w:sz w:val="28"/>
          <w:szCs w:val="28"/>
        </w:rPr>
        <w:lastRenderedPageBreak/>
        <w:t>полномочий по решению вопросов местного значения в соответствии с заключенными соглашениями</w:t>
      </w:r>
      <w:r w:rsidR="00362DCE">
        <w:rPr>
          <w:sz w:val="28"/>
          <w:szCs w:val="28"/>
        </w:rPr>
        <w:t>, а также прочие межбюджетные трансферты</w:t>
      </w:r>
      <w:r w:rsidR="005841C2">
        <w:rPr>
          <w:sz w:val="28"/>
          <w:szCs w:val="28"/>
        </w:rPr>
        <w:t>.</w:t>
      </w:r>
    </w:p>
    <w:p w:rsidR="000649E7" w:rsidRDefault="000649E7" w:rsidP="00824911">
      <w:pPr>
        <w:ind w:firstLine="708"/>
        <w:jc w:val="both"/>
        <w:rPr>
          <w:sz w:val="28"/>
          <w:szCs w:val="28"/>
        </w:rPr>
      </w:pPr>
    </w:p>
    <w:p w:rsidR="00B04157" w:rsidRDefault="0003124F" w:rsidP="00824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</w:t>
      </w:r>
      <w:r w:rsidR="00BD2DDE">
        <w:rPr>
          <w:sz w:val="28"/>
          <w:szCs w:val="28"/>
        </w:rPr>
        <w:t xml:space="preserve"> в 201</w:t>
      </w:r>
      <w:r w:rsidR="00362DCE">
        <w:rPr>
          <w:sz w:val="28"/>
          <w:szCs w:val="28"/>
        </w:rPr>
        <w:t>8</w:t>
      </w:r>
      <w:r w:rsidR="00BD2DDE">
        <w:rPr>
          <w:sz w:val="28"/>
          <w:szCs w:val="28"/>
        </w:rPr>
        <w:t xml:space="preserve"> году и плановом периоде 201</w:t>
      </w:r>
      <w:r w:rsidR="00362DCE">
        <w:rPr>
          <w:sz w:val="28"/>
          <w:szCs w:val="28"/>
        </w:rPr>
        <w:t>9</w:t>
      </w:r>
      <w:r w:rsidR="00BD2DDE">
        <w:rPr>
          <w:sz w:val="28"/>
          <w:szCs w:val="28"/>
        </w:rPr>
        <w:t>-20</w:t>
      </w:r>
      <w:r w:rsidR="00362DCE">
        <w:rPr>
          <w:sz w:val="28"/>
          <w:szCs w:val="28"/>
        </w:rPr>
        <w:t>20</w:t>
      </w:r>
      <w:r w:rsidR="00BD2DDE">
        <w:rPr>
          <w:sz w:val="28"/>
          <w:szCs w:val="28"/>
        </w:rPr>
        <w:t xml:space="preserve">гг. будут ориентированы на улучшение условий жизни человека, адресное решение социальных проблем и повышение качества муниципальных услуг. Формирование расходов осуществлялось в соответствии с расходными обязательствами на основании реестра расходных </w:t>
      </w:r>
      <w:r w:rsidR="00BD2DDE" w:rsidRPr="001F1E66">
        <w:rPr>
          <w:sz w:val="28"/>
          <w:szCs w:val="28"/>
        </w:rPr>
        <w:t>обязательств</w:t>
      </w:r>
      <w:r w:rsidR="008521D1" w:rsidRPr="001F1E66">
        <w:rPr>
          <w:sz w:val="28"/>
          <w:szCs w:val="28"/>
        </w:rPr>
        <w:t>.</w:t>
      </w:r>
    </w:p>
    <w:p w:rsidR="00B04157" w:rsidRDefault="00B04157" w:rsidP="00824911">
      <w:pPr>
        <w:ind w:firstLine="708"/>
        <w:jc w:val="both"/>
        <w:rPr>
          <w:sz w:val="28"/>
          <w:szCs w:val="28"/>
        </w:rPr>
      </w:pPr>
    </w:p>
    <w:p w:rsidR="008521D1" w:rsidRPr="00FA04AE" w:rsidRDefault="0032531E" w:rsidP="008521D1">
      <w:pPr>
        <w:pStyle w:val="a7"/>
        <w:keepNext/>
        <w:jc w:val="both"/>
        <w:rPr>
          <w:sz w:val="24"/>
          <w:szCs w:val="24"/>
        </w:rPr>
      </w:pPr>
      <w:r w:rsidRPr="0032531E">
        <w:rPr>
          <w:sz w:val="24"/>
          <w:szCs w:val="24"/>
        </w:rPr>
        <w:t>Сравнительный а</w:t>
      </w:r>
      <w:r w:rsidR="00FA04AE">
        <w:rPr>
          <w:sz w:val="24"/>
          <w:szCs w:val="24"/>
        </w:rPr>
        <w:t>нализ структуры расходов</w:t>
      </w:r>
    </w:p>
    <w:p w:rsidR="00BD2DDE" w:rsidRDefault="00B04157" w:rsidP="00F05B88">
      <w:pPr>
        <w:ind w:left="-567" w:right="-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00825" cy="421957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D2DDE" w:rsidRDefault="00BD2DDE" w:rsidP="00824911">
      <w:pPr>
        <w:ind w:firstLine="708"/>
        <w:jc w:val="both"/>
        <w:rPr>
          <w:sz w:val="28"/>
          <w:szCs w:val="28"/>
        </w:rPr>
      </w:pPr>
    </w:p>
    <w:p w:rsidR="005E7508" w:rsidRDefault="0032531E" w:rsidP="00295B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запланированных расходов на 201</w:t>
      </w:r>
      <w:r w:rsidR="001F1E66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составила</w:t>
      </w:r>
      <w:r w:rsidR="001F1E66">
        <w:rPr>
          <w:sz w:val="28"/>
          <w:szCs w:val="28"/>
        </w:rPr>
        <w:t xml:space="preserve">264440,8 </w:t>
      </w:r>
      <w:r>
        <w:rPr>
          <w:sz w:val="28"/>
          <w:szCs w:val="28"/>
        </w:rPr>
        <w:t>тыс. рублей, на 201</w:t>
      </w:r>
      <w:r w:rsidR="001F1E66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1F1E66">
        <w:rPr>
          <w:sz w:val="28"/>
          <w:szCs w:val="28"/>
        </w:rPr>
        <w:t>206423,5</w:t>
      </w:r>
      <w:r>
        <w:rPr>
          <w:sz w:val="28"/>
          <w:szCs w:val="28"/>
        </w:rPr>
        <w:t xml:space="preserve"> тыс. рублей, на 20</w:t>
      </w:r>
      <w:r w:rsidR="001F1E66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1F1E66">
        <w:rPr>
          <w:sz w:val="28"/>
          <w:szCs w:val="28"/>
        </w:rPr>
        <w:t>220737,3</w:t>
      </w:r>
      <w:r>
        <w:rPr>
          <w:sz w:val="28"/>
          <w:szCs w:val="28"/>
        </w:rPr>
        <w:t xml:space="preserve"> тыс. рублей. </w:t>
      </w:r>
      <w:r w:rsidR="00FA04AE">
        <w:rPr>
          <w:sz w:val="28"/>
          <w:szCs w:val="28"/>
        </w:rPr>
        <w:t xml:space="preserve">Из </w:t>
      </w:r>
      <w:r w:rsidR="004F01A7">
        <w:rPr>
          <w:sz w:val="28"/>
          <w:szCs w:val="28"/>
        </w:rPr>
        <w:t xml:space="preserve">анализа </w:t>
      </w:r>
      <w:r w:rsidR="00FA04AE">
        <w:rPr>
          <w:sz w:val="28"/>
          <w:szCs w:val="28"/>
        </w:rPr>
        <w:t>структуры расходов на 201</w:t>
      </w:r>
      <w:r w:rsidR="001F1E66">
        <w:rPr>
          <w:sz w:val="28"/>
          <w:szCs w:val="28"/>
        </w:rPr>
        <w:t>8</w:t>
      </w:r>
      <w:r w:rsidR="00FA04AE">
        <w:rPr>
          <w:sz w:val="28"/>
          <w:szCs w:val="28"/>
        </w:rPr>
        <w:t xml:space="preserve"> год и плановый период 201</w:t>
      </w:r>
      <w:r w:rsidR="001F1E66">
        <w:rPr>
          <w:sz w:val="28"/>
          <w:szCs w:val="28"/>
        </w:rPr>
        <w:t>9</w:t>
      </w:r>
      <w:r w:rsidR="00FA04AE">
        <w:rPr>
          <w:sz w:val="28"/>
          <w:szCs w:val="28"/>
        </w:rPr>
        <w:t>-20</w:t>
      </w:r>
      <w:r w:rsidR="001F1E66">
        <w:rPr>
          <w:sz w:val="28"/>
          <w:szCs w:val="28"/>
        </w:rPr>
        <w:t>20</w:t>
      </w:r>
      <w:r w:rsidR="00FA04AE">
        <w:rPr>
          <w:sz w:val="28"/>
          <w:szCs w:val="28"/>
        </w:rPr>
        <w:t>гг. видно, что по сравнению с 201</w:t>
      </w:r>
      <w:r w:rsidR="001F1E66">
        <w:rPr>
          <w:sz w:val="28"/>
          <w:szCs w:val="28"/>
        </w:rPr>
        <w:t>7</w:t>
      </w:r>
      <w:r w:rsidR="00FA04AE">
        <w:rPr>
          <w:sz w:val="28"/>
          <w:szCs w:val="28"/>
        </w:rPr>
        <w:t xml:space="preserve"> годом </w:t>
      </w:r>
      <w:r w:rsidR="004F01A7">
        <w:rPr>
          <w:sz w:val="28"/>
          <w:szCs w:val="28"/>
        </w:rPr>
        <w:t xml:space="preserve">значительно </w:t>
      </w:r>
      <w:r w:rsidR="00FA04AE">
        <w:rPr>
          <w:sz w:val="28"/>
          <w:szCs w:val="28"/>
        </w:rPr>
        <w:t>увеличились расходы</w:t>
      </w:r>
      <w:r w:rsidR="00F05B88">
        <w:rPr>
          <w:sz w:val="28"/>
          <w:szCs w:val="28"/>
        </w:rPr>
        <w:t>по разделу  ЖКХ, увеличение составило 453 тыс. рублей</w:t>
      </w:r>
      <w:r w:rsidR="003B0D62">
        <w:rPr>
          <w:sz w:val="28"/>
          <w:szCs w:val="28"/>
        </w:rPr>
        <w:t xml:space="preserve"> (за счет планируемого текущего ремонта теплотрассы)</w:t>
      </w:r>
      <w:r w:rsidR="00F05B88">
        <w:rPr>
          <w:sz w:val="28"/>
          <w:szCs w:val="28"/>
        </w:rPr>
        <w:t>. По разделу «национальная экономика увеличение составило 1128,9 тыс. рублей.</w:t>
      </w:r>
      <w:r w:rsidR="003B0D62">
        <w:rPr>
          <w:sz w:val="28"/>
          <w:szCs w:val="28"/>
        </w:rPr>
        <w:t xml:space="preserve"> В данном ра</w:t>
      </w:r>
      <w:r w:rsidR="0059038B">
        <w:rPr>
          <w:sz w:val="28"/>
          <w:szCs w:val="28"/>
        </w:rPr>
        <w:t xml:space="preserve">зделе учитываются расходы по содержанию МКУ ЦП АПК, в котором предусматривается увеличение социально-значимых расходов. Также планируется увеличение расходов дорожного фонда. </w:t>
      </w:r>
      <w:r w:rsidR="00F05B88">
        <w:rPr>
          <w:sz w:val="28"/>
          <w:szCs w:val="28"/>
        </w:rPr>
        <w:t xml:space="preserve"> По разделу «культура» увеличение составило 12628,1 тыс. рублей.</w:t>
      </w:r>
      <w:r w:rsidR="0059038B">
        <w:rPr>
          <w:sz w:val="28"/>
          <w:szCs w:val="28"/>
        </w:rPr>
        <w:t xml:space="preserve"> Увеличение расходов объясняется планируемым исполнением Указа Президента РФ от 07.05.2012года №597, от 01.06.2012 года №761, а также индексацией заработной платы на 4%.</w:t>
      </w:r>
      <w:r w:rsidR="00F05B88">
        <w:rPr>
          <w:sz w:val="28"/>
          <w:szCs w:val="28"/>
        </w:rPr>
        <w:t xml:space="preserve"> По разделу «образование» увеличение составило 4224,6 тыс. рублей. По разделу «физическая культура» увеличение составило 167,5 тыс. рублей.</w:t>
      </w:r>
      <w:r w:rsidR="0059038B">
        <w:rPr>
          <w:sz w:val="28"/>
          <w:szCs w:val="28"/>
        </w:rPr>
        <w:t xml:space="preserve"> Расходные обязательства в данной сфере определяются МП «Развитие физической культуры и спорта» от 16.01.2014г. №17.</w:t>
      </w:r>
      <w:r w:rsidR="00F05B88">
        <w:rPr>
          <w:sz w:val="28"/>
          <w:szCs w:val="28"/>
        </w:rPr>
        <w:t xml:space="preserve"> В 2018 году планируется снижение нагрузки на бюджет Репьевского муниципального района по разделу </w:t>
      </w:r>
      <w:r w:rsidR="00F05B88">
        <w:rPr>
          <w:sz w:val="28"/>
          <w:szCs w:val="28"/>
        </w:rPr>
        <w:lastRenderedPageBreak/>
        <w:t xml:space="preserve">«обслуживание муниципального долга» на 200 тыс. рублей. В указанном периоде планируется только погашение кредитных обязательств. </w:t>
      </w:r>
      <w:r w:rsidR="006E04CF">
        <w:rPr>
          <w:sz w:val="28"/>
          <w:szCs w:val="28"/>
        </w:rPr>
        <w:t xml:space="preserve">В разделе «межбюджетные трансферты»учитываются расходы на предоставление дотаций по сбалансированности бюджетов поселений, также </w:t>
      </w:r>
      <w:r w:rsidR="0010218C">
        <w:rPr>
          <w:sz w:val="28"/>
          <w:szCs w:val="28"/>
        </w:rPr>
        <w:t>учитывается районный фонд</w:t>
      </w:r>
      <w:r w:rsidR="006E04CF">
        <w:rPr>
          <w:sz w:val="28"/>
          <w:szCs w:val="28"/>
        </w:rPr>
        <w:t xml:space="preserve"> финансовой поддержки поселений</w:t>
      </w:r>
      <w:r w:rsidR="0010218C">
        <w:rPr>
          <w:sz w:val="28"/>
          <w:szCs w:val="28"/>
        </w:rPr>
        <w:t>. Порядок определения объема районного фонда финансовой поддержки поселений и распределения дотаций на выравнивание бюджетной обеспеченности поселений из бюджета муниципального района регулируется Законом ВО от 07.12.2006г. №108-ОЗ, а также законом ВО от 17.11.2005г. №68-ОЗ.</w:t>
      </w:r>
      <w:r w:rsidR="009A5E4A">
        <w:rPr>
          <w:sz w:val="28"/>
          <w:szCs w:val="28"/>
        </w:rPr>
        <w:t xml:space="preserve"> Общий объем дотаций на выравнивание бюджетной обеспеченности поселений из бюджета муниципального района в 2018 году равен 4% собственных доходов без учета поступлений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и платных услуг, оказываемых казенными учреждениями, в 2019 году – 4% собственных доходов без учета поступлений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и платных услуг, оказываемых казенными учреждениями, в 2020 году – 3,8% собственных доходов без учета поступлений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и платных услуг, оказываемых казенными учреждениями. </w:t>
      </w:r>
      <w:r w:rsidR="00295B72">
        <w:rPr>
          <w:sz w:val="28"/>
          <w:szCs w:val="28"/>
        </w:rPr>
        <w:t xml:space="preserve">Размер дотаций на выравнивание бюджетной обеспеченности поселений, определен в соответствии с </w:t>
      </w:r>
      <w:hyperlink r:id="rId8" w:history="1">
        <w:r w:rsidR="00295B72" w:rsidRPr="00295B72">
          <w:rPr>
            <w:sz w:val="28"/>
            <w:szCs w:val="28"/>
          </w:rPr>
          <w:t>Методикой</w:t>
        </w:r>
      </w:hyperlink>
      <w:r w:rsidR="00295B72">
        <w:rPr>
          <w:sz w:val="28"/>
          <w:szCs w:val="28"/>
        </w:rPr>
        <w:t xml:space="preserve"> расчета дотаций на выравнивание бюджетной обеспеченности поселений из бюджета муниципального района. В разделе «социальная политика» по сравнению с 2017 годом прослеживается уменьшение расходов.</w:t>
      </w:r>
      <w:r w:rsidR="005E7508">
        <w:rPr>
          <w:sz w:val="28"/>
          <w:szCs w:val="28"/>
        </w:rPr>
        <w:t xml:space="preserve"> Динамика расходов по данному направлению представлена в виде диаграммы.</w:t>
      </w:r>
    </w:p>
    <w:p w:rsidR="005E7508" w:rsidRDefault="005E7508" w:rsidP="00295B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508" w:rsidRDefault="005E7508" w:rsidP="006C1AB9">
      <w:pPr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48425" cy="320040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5B72" w:rsidRDefault="00295B72" w:rsidP="00295B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5E4A" w:rsidRDefault="009A5E4A" w:rsidP="009A5E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5E4A" w:rsidRDefault="009A5E4A" w:rsidP="009A5E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218C" w:rsidRDefault="0010218C" w:rsidP="001021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5B88" w:rsidRDefault="006C1AB9" w:rsidP="00DD0A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«общегосударственные расходы» представлены расходами на содержание </w:t>
      </w:r>
      <w:proofErr w:type="spellStart"/>
      <w:r>
        <w:rPr>
          <w:sz w:val="28"/>
          <w:szCs w:val="28"/>
        </w:rPr>
        <w:t>ксп</w:t>
      </w:r>
      <w:proofErr w:type="spellEnd"/>
      <w:r>
        <w:rPr>
          <w:sz w:val="28"/>
          <w:szCs w:val="28"/>
        </w:rPr>
        <w:t xml:space="preserve"> Репьевского муниципального района, обеспечение деятельности органов местного самоуправления, обеспечение деятельности финансовых органов, создание резервных фондов, другие обязательства государства.</w:t>
      </w:r>
      <w:r w:rsidR="000E715D">
        <w:rPr>
          <w:sz w:val="28"/>
          <w:szCs w:val="28"/>
        </w:rPr>
        <w:t xml:space="preserve"> Структура раздела «общегосударственные вопросы» представлена в диаграмме</w:t>
      </w:r>
    </w:p>
    <w:p w:rsidR="000E715D" w:rsidRDefault="000E715D" w:rsidP="00DD0A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C0351" w:rsidRDefault="00CC0351" w:rsidP="00CC03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подраздела «другие общегосударственные вопросы» входят расходы по содержанию МКУ «Управление делами». Расходные обязательства определены постановлением администрации Репьевского муниципального района от 15.01.2014 года № 5. Расходная часть сформирована в режиме оптимизации, что предполагает снижение финансовой нагрузки по дополнительным расходам в отношении муниципального долга, первоочередных расходов. </w:t>
      </w:r>
    </w:p>
    <w:p w:rsidR="006A7651" w:rsidRDefault="00835423" w:rsidP="00CC03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</w:t>
      </w:r>
      <w:r w:rsidR="00F1709F">
        <w:rPr>
          <w:sz w:val="28"/>
          <w:szCs w:val="28"/>
        </w:rPr>
        <w:t>жет Репьевского муниципального района на 201</w:t>
      </w:r>
      <w:r w:rsidR="00CC0351">
        <w:rPr>
          <w:sz w:val="28"/>
          <w:szCs w:val="28"/>
        </w:rPr>
        <w:t>8</w:t>
      </w:r>
      <w:r w:rsidR="00F1709F">
        <w:rPr>
          <w:sz w:val="28"/>
          <w:szCs w:val="28"/>
        </w:rPr>
        <w:t xml:space="preserve"> год</w:t>
      </w:r>
      <w:r w:rsidR="00CC0351">
        <w:rPr>
          <w:sz w:val="28"/>
          <w:szCs w:val="28"/>
        </w:rPr>
        <w:t xml:space="preserve"> и плановый период 2019-2020 гг.</w:t>
      </w:r>
      <w:r w:rsidR="00F1709F">
        <w:rPr>
          <w:sz w:val="28"/>
          <w:szCs w:val="28"/>
        </w:rPr>
        <w:t>, является социально-ориен</w:t>
      </w:r>
      <w:r w:rsidR="00F028F7">
        <w:rPr>
          <w:sz w:val="28"/>
          <w:szCs w:val="28"/>
        </w:rPr>
        <w:t xml:space="preserve">тированным. </w:t>
      </w:r>
    </w:p>
    <w:p w:rsidR="0047585E" w:rsidRDefault="0047585E" w:rsidP="006748AD">
      <w:pPr>
        <w:jc w:val="both"/>
        <w:rPr>
          <w:sz w:val="28"/>
          <w:szCs w:val="28"/>
        </w:rPr>
      </w:pPr>
    </w:p>
    <w:p w:rsidR="00067574" w:rsidRDefault="0047585E" w:rsidP="0047585E">
      <w:pPr>
        <w:ind w:firstLine="708"/>
        <w:jc w:val="both"/>
        <w:rPr>
          <w:sz w:val="28"/>
          <w:szCs w:val="28"/>
        </w:rPr>
      </w:pPr>
      <w:r w:rsidRPr="00162394">
        <w:rPr>
          <w:sz w:val="28"/>
          <w:szCs w:val="28"/>
        </w:rPr>
        <w:t>Верхний</w:t>
      </w:r>
      <w:r w:rsidRPr="00F854E7">
        <w:rPr>
          <w:sz w:val="28"/>
          <w:szCs w:val="28"/>
        </w:rPr>
        <w:t xml:space="preserve"> предел</w:t>
      </w:r>
      <w:r>
        <w:rPr>
          <w:sz w:val="28"/>
          <w:szCs w:val="28"/>
        </w:rPr>
        <w:t xml:space="preserve"> муниципаль</w:t>
      </w:r>
      <w:r w:rsidR="00C66042">
        <w:rPr>
          <w:sz w:val="28"/>
          <w:szCs w:val="28"/>
        </w:rPr>
        <w:t>ного долга бюджета на 01.01.201</w:t>
      </w:r>
      <w:r w:rsidR="00162394">
        <w:rPr>
          <w:sz w:val="28"/>
          <w:szCs w:val="28"/>
        </w:rPr>
        <w:t>9</w:t>
      </w:r>
      <w:r>
        <w:rPr>
          <w:sz w:val="28"/>
          <w:szCs w:val="28"/>
        </w:rPr>
        <w:t xml:space="preserve">г. установлен в сумме </w:t>
      </w:r>
      <w:r w:rsidR="00162394">
        <w:rPr>
          <w:sz w:val="28"/>
          <w:szCs w:val="28"/>
        </w:rPr>
        <w:t>1249,8</w:t>
      </w:r>
      <w:r>
        <w:rPr>
          <w:sz w:val="28"/>
          <w:szCs w:val="28"/>
        </w:rPr>
        <w:t xml:space="preserve"> тыс. рублей</w:t>
      </w:r>
      <w:r w:rsidR="00A41A60">
        <w:rPr>
          <w:sz w:val="28"/>
          <w:szCs w:val="28"/>
        </w:rPr>
        <w:t>, на 01.01.20</w:t>
      </w:r>
      <w:r w:rsidR="00162394">
        <w:rPr>
          <w:sz w:val="28"/>
          <w:szCs w:val="28"/>
        </w:rPr>
        <w:t xml:space="preserve">20 </w:t>
      </w:r>
      <w:r w:rsidR="00A41A60">
        <w:rPr>
          <w:sz w:val="28"/>
          <w:szCs w:val="28"/>
        </w:rPr>
        <w:t xml:space="preserve">года  - </w:t>
      </w:r>
      <w:r w:rsidR="00162394">
        <w:rPr>
          <w:sz w:val="28"/>
          <w:szCs w:val="28"/>
        </w:rPr>
        <w:t>0</w:t>
      </w:r>
      <w:r w:rsidR="00A41A60">
        <w:rPr>
          <w:sz w:val="28"/>
          <w:szCs w:val="28"/>
        </w:rPr>
        <w:t xml:space="preserve"> тыс. рублей, на 01.01.202</w:t>
      </w:r>
      <w:r w:rsidR="00162394">
        <w:rPr>
          <w:sz w:val="28"/>
          <w:szCs w:val="28"/>
        </w:rPr>
        <w:t>1</w:t>
      </w:r>
      <w:r w:rsidR="00A41A60">
        <w:rPr>
          <w:sz w:val="28"/>
          <w:szCs w:val="28"/>
        </w:rPr>
        <w:t xml:space="preserve"> года – </w:t>
      </w:r>
      <w:r w:rsidR="00162394">
        <w:rPr>
          <w:sz w:val="28"/>
          <w:szCs w:val="28"/>
        </w:rPr>
        <w:t>0</w:t>
      </w:r>
      <w:r w:rsidR="00A41A60">
        <w:rPr>
          <w:sz w:val="28"/>
          <w:szCs w:val="28"/>
        </w:rPr>
        <w:t xml:space="preserve"> тыс. рублей</w:t>
      </w:r>
      <w:r w:rsidR="00C66042">
        <w:rPr>
          <w:sz w:val="28"/>
          <w:szCs w:val="28"/>
        </w:rPr>
        <w:t xml:space="preserve">. Данный показатель, является расчетным,  </w:t>
      </w:r>
      <w:r>
        <w:rPr>
          <w:sz w:val="28"/>
          <w:szCs w:val="28"/>
        </w:rPr>
        <w:t xml:space="preserve"> что соответствует п.6, ст.107 БК РФ</w:t>
      </w:r>
      <w:r w:rsidR="00C66042">
        <w:rPr>
          <w:sz w:val="28"/>
          <w:szCs w:val="28"/>
        </w:rPr>
        <w:t>.О</w:t>
      </w:r>
      <w:r>
        <w:rPr>
          <w:sz w:val="28"/>
          <w:szCs w:val="28"/>
        </w:rPr>
        <w:t xml:space="preserve">бъем расходов на обслуживание муниципального долга </w:t>
      </w:r>
      <w:r w:rsidR="00A41A60">
        <w:rPr>
          <w:sz w:val="28"/>
          <w:szCs w:val="28"/>
        </w:rPr>
        <w:t>на 201</w:t>
      </w:r>
      <w:r w:rsidR="007B31D9">
        <w:rPr>
          <w:sz w:val="28"/>
          <w:szCs w:val="28"/>
        </w:rPr>
        <w:t>8</w:t>
      </w:r>
      <w:r w:rsidR="00A41A6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составит </w:t>
      </w:r>
      <w:r w:rsidR="007B31D9">
        <w:rPr>
          <w:sz w:val="28"/>
          <w:szCs w:val="28"/>
        </w:rPr>
        <w:t>1</w:t>
      </w:r>
      <w:r w:rsidR="00A41A60">
        <w:rPr>
          <w:sz w:val="28"/>
          <w:szCs w:val="28"/>
        </w:rPr>
        <w:t>00</w:t>
      </w:r>
      <w:r>
        <w:rPr>
          <w:sz w:val="28"/>
          <w:szCs w:val="28"/>
        </w:rPr>
        <w:t xml:space="preserve"> тыс. рублей</w:t>
      </w:r>
      <w:r w:rsidR="00A41A60">
        <w:rPr>
          <w:sz w:val="28"/>
          <w:szCs w:val="28"/>
        </w:rPr>
        <w:t>, на 201</w:t>
      </w:r>
      <w:r w:rsidR="007B31D9">
        <w:rPr>
          <w:sz w:val="28"/>
          <w:szCs w:val="28"/>
        </w:rPr>
        <w:t>9</w:t>
      </w:r>
      <w:r w:rsidR="00A41A60">
        <w:rPr>
          <w:sz w:val="28"/>
          <w:szCs w:val="28"/>
        </w:rPr>
        <w:t xml:space="preserve"> год - 100тыс. рублей, на 20</w:t>
      </w:r>
      <w:r w:rsidR="007B31D9">
        <w:rPr>
          <w:sz w:val="28"/>
          <w:szCs w:val="28"/>
        </w:rPr>
        <w:t>20</w:t>
      </w:r>
      <w:r w:rsidR="00A41A60">
        <w:rPr>
          <w:sz w:val="28"/>
          <w:szCs w:val="28"/>
        </w:rPr>
        <w:t xml:space="preserve"> год – </w:t>
      </w:r>
      <w:r w:rsidR="007B31D9">
        <w:rPr>
          <w:sz w:val="28"/>
          <w:szCs w:val="28"/>
        </w:rPr>
        <w:t>0</w:t>
      </w:r>
      <w:r w:rsidR="00A41A60">
        <w:rPr>
          <w:sz w:val="28"/>
          <w:szCs w:val="28"/>
        </w:rPr>
        <w:t xml:space="preserve"> тыс. рублей. </w:t>
      </w:r>
    </w:p>
    <w:p w:rsidR="00A41A60" w:rsidRDefault="00A41A60" w:rsidP="0047585E">
      <w:pPr>
        <w:ind w:firstLine="708"/>
        <w:jc w:val="both"/>
        <w:rPr>
          <w:sz w:val="28"/>
          <w:szCs w:val="28"/>
        </w:rPr>
      </w:pPr>
    </w:p>
    <w:p w:rsidR="00A577BF" w:rsidRDefault="00A577BF" w:rsidP="004758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Предельный объем муниципального долга установлен </w:t>
      </w:r>
      <w:r w:rsidR="00252FA1">
        <w:rPr>
          <w:sz w:val="28"/>
          <w:szCs w:val="28"/>
        </w:rPr>
        <w:t>на 201</w:t>
      </w:r>
      <w:r w:rsidR="007B31D9">
        <w:rPr>
          <w:sz w:val="28"/>
          <w:szCs w:val="28"/>
        </w:rPr>
        <w:t>8</w:t>
      </w:r>
      <w:r w:rsidR="00252FA1">
        <w:rPr>
          <w:sz w:val="28"/>
          <w:szCs w:val="28"/>
        </w:rPr>
        <w:t xml:space="preserve"> год - </w:t>
      </w:r>
      <w:r w:rsidR="007B31D9">
        <w:rPr>
          <w:sz w:val="28"/>
          <w:szCs w:val="28"/>
        </w:rPr>
        <w:t>26163</w:t>
      </w:r>
      <w:r>
        <w:rPr>
          <w:sz w:val="28"/>
          <w:szCs w:val="28"/>
        </w:rPr>
        <w:t xml:space="preserve"> тыс. рублей</w:t>
      </w:r>
      <w:r w:rsidR="00252FA1">
        <w:rPr>
          <w:sz w:val="28"/>
          <w:szCs w:val="28"/>
        </w:rPr>
        <w:t>, на 201</w:t>
      </w:r>
      <w:r w:rsidR="007B31D9">
        <w:rPr>
          <w:sz w:val="28"/>
          <w:szCs w:val="28"/>
        </w:rPr>
        <w:t>9</w:t>
      </w:r>
      <w:r w:rsidR="00252FA1">
        <w:rPr>
          <w:sz w:val="28"/>
          <w:szCs w:val="28"/>
        </w:rPr>
        <w:t xml:space="preserve"> год – </w:t>
      </w:r>
      <w:r w:rsidR="007B31D9">
        <w:rPr>
          <w:sz w:val="28"/>
          <w:szCs w:val="28"/>
        </w:rPr>
        <w:t>27936,5</w:t>
      </w:r>
      <w:r w:rsidR="00252FA1">
        <w:rPr>
          <w:sz w:val="28"/>
          <w:szCs w:val="28"/>
        </w:rPr>
        <w:t xml:space="preserve"> тыс. рублей, на 20</w:t>
      </w:r>
      <w:r w:rsidR="007B31D9">
        <w:rPr>
          <w:sz w:val="28"/>
          <w:szCs w:val="28"/>
        </w:rPr>
        <w:t>20</w:t>
      </w:r>
      <w:r w:rsidR="00252FA1">
        <w:rPr>
          <w:sz w:val="28"/>
          <w:szCs w:val="28"/>
        </w:rPr>
        <w:t xml:space="preserve"> год – </w:t>
      </w:r>
      <w:r w:rsidR="007B31D9">
        <w:rPr>
          <w:sz w:val="28"/>
          <w:szCs w:val="28"/>
        </w:rPr>
        <w:t>29828</w:t>
      </w:r>
      <w:r w:rsidR="00252FA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 Размер предельного объема муниципального долга соответствует установленной норме п.3, ст.107 БК РФ.</w:t>
      </w:r>
    </w:p>
    <w:p w:rsidR="0047585E" w:rsidRDefault="0047585E" w:rsidP="006748AD">
      <w:pPr>
        <w:jc w:val="both"/>
        <w:rPr>
          <w:sz w:val="28"/>
          <w:szCs w:val="28"/>
        </w:rPr>
      </w:pPr>
    </w:p>
    <w:p w:rsidR="00896AFE" w:rsidRDefault="00067574" w:rsidP="00037D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7DFD">
        <w:rPr>
          <w:sz w:val="28"/>
          <w:szCs w:val="28"/>
        </w:rPr>
        <w:t xml:space="preserve">В составе расходов на общегосударственные вопросы включены расходы на формирование резервного фонда в сумме </w:t>
      </w:r>
      <w:r w:rsidR="006A39C3">
        <w:rPr>
          <w:sz w:val="28"/>
          <w:szCs w:val="28"/>
        </w:rPr>
        <w:t>4757,4</w:t>
      </w:r>
      <w:r w:rsidRPr="00037DFD">
        <w:rPr>
          <w:sz w:val="28"/>
          <w:szCs w:val="28"/>
        </w:rPr>
        <w:t>тыс. рублей или</w:t>
      </w:r>
      <w:r w:rsidR="006A39C3">
        <w:rPr>
          <w:sz w:val="28"/>
          <w:szCs w:val="28"/>
        </w:rPr>
        <w:t xml:space="preserve"> 1,8</w:t>
      </w:r>
      <w:r w:rsidRPr="00037DFD">
        <w:rPr>
          <w:sz w:val="28"/>
          <w:szCs w:val="28"/>
        </w:rPr>
        <w:t xml:space="preserve">% общего объема расходов бюджета района, что соответствует </w:t>
      </w:r>
      <w:r w:rsidR="008B6336" w:rsidRPr="00037DFD">
        <w:rPr>
          <w:sz w:val="28"/>
          <w:szCs w:val="28"/>
        </w:rPr>
        <w:t>п.3, ст.81 БК РФ. Расходование средств резервного фонда предусмотрено Положением о порядке расходования средств резервного фонда администрации Репьевского муниципального района» №1</w:t>
      </w:r>
      <w:r w:rsidR="00ED0B83" w:rsidRPr="00037DFD">
        <w:rPr>
          <w:sz w:val="28"/>
          <w:szCs w:val="28"/>
        </w:rPr>
        <w:t>56</w:t>
      </w:r>
      <w:r w:rsidR="008B6336" w:rsidRPr="00037DFD">
        <w:rPr>
          <w:sz w:val="28"/>
          <w:szCs w:val="28"/>
        </w:rPr>
        <w:t xml:space="preserve"> от </w:t>
      </w:r>
      <w:r w:rsidR="00ED0B83" w:rsidRPr="00037DFD">
        <w:rPr>
          <w:sz w:val="28"/>
          <w:szCs w:val="28"/>
        </w:rPr>
        <w:t>25</w:t>
      </w:r>
      <w:r w:rsidR="008B6336" w:rsidRPr="00037DFD">
        <w:rPr>
          <w:sz w:val="28"/>
          <w:szCs w:val="28"/>
        </w:rPr>
        <w:t>.0</w:t>
      </w:r>
      <w:r w:rsidR="00ED0B83" w:rsidRPr="00037DFD">
        <w:rPr>
          <w:sz w:val="28"/>
          <w:szCs w:val="28"/>
        </w:rPr>
        <w:t>5</w:t>
      </w:r>
      <w:r w:rsidR="008B6336" w:rsidRPr="00037DFD">
        <w:rPr>
          <w:sz w:val="28"/>
          <w:szCs w:val="28"/>
        </w:rPr>
        <w:t>.20</w:t>
      </w:r>
      <w:r w:rsidR="00ED0B83" w:rsidRPr="00037DFD">
        <w:rPr>
          <w:sz w:val="28"/>
          <w:szCs w:val="28"/>
        </w:rPr>
        <w:t>12</w:t>
      </w:r>
      <w:r w:rsidR="008B6336" w:rsidRPr="00037DFD">
        <w:rPr>
          <w:sz w:val="28"/>
          <w:szCs w:val="28"/>
        </w:rPr>
        <w:t>г.</w:t>
      </w:r>
    </w:p>
    <w:p w:rsidR="00896AFE" w:rsidRDefault="00C66042" w:rsidP="0006757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D191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п.3 ст.184.1 БК РФ, утвержден общий объем бюджетных ассигнований на исполнение публичных нормативных обязательств </w:t>
      </w:r>
      <w:r w:rsidR="007E7EAD">
        <w:rPr>
          <w:sz w:val="28"/>
          <w:szCs w:val="28"/>
        </w:rPr>
        <w:t>на 201</w:t>
      </w:r>
      <w:r w:rsidR="009D191D">
        <w:rPr>
          <w:sz w:val="28"/>
          <w:szCs w:val="28"/>
        </w:rPr>
        <w:t>8</w:t>
      </w:r>
      <w:r w:rsidR="007E7EAD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сумме </w:t>
      </w:r>
      <w:r w:rsidR="009D191D">
        <w:rPr>
          <w:sz w:val="28"/>
          <w:szCs w:val="28"/>
        </w:rPr>
        <w:t>6097,4</w:t>
      </w:r>
      <w:r w:rsidR="007C465B">
        <w:rPr>
          <w:sz w:val="28"/>
          <w:szCs w:val="28"/>
        </w:rPr>
        <w:t xml:space="preserve"> тыс. рублей</w:t>
      </w:r>
      <w:r w:rsidR="007E7EAD">
        <w:rPr>
          <w:sz w:val="28"/>
          <w:szCs w:val="28"/>
        </w:rPr>
        <w:t>, на 201</w:t>
      </w:r>
      <w:r w:rsidR="009D191D">
        <w:rPr>
          <w:sz w:val="28"/>
          <w:szCs w:val="28"/>
        </w:rPr>
        <w:t>9</w:t>
      </w:r>
      <w:r w:rsidR="007E7EAD">
        <w:rPr>
          <w:sz w:val="28"/>
          <w:szCs w:val="28"/>
        </w:rPr>
        <w:t xml:space="preserve"> год в сумме </w:t>
      </w:r>
      <w:r w:rsidR="009D191D">
        <w:rPr>
          <w:sz w:val="28"/>
          <w:szCs w:val="28"/>
        </w:rPr>
        <w:t>7920,6</w:t>
      </w:r>
      <w:r w:rsidR="007E7EAD">
        <w:rPr>
          <w:sz w:val="28"/>
          <w:szCs w:val="28"/>
        </w:rPr>
        <w:t xml:space="preserve"> тыс. рублей, на 20</w:t>
      </w:r>
      <w:r w:rsidR="009D191D">
        <w:rPr>
          <w:sz w:val="28"/>
          <w:szCs w:val="28"/>
        </w:rPr>
        <w:t>20</w:t>
      </w:r>
      <w:r w:rsidR="007E7EAD">
        <w:rPr>
          <w:sz w:val="28"/>
          <w:szCs w:val="28"/>
        </w:rPr>
        <w:t xml:space="preserve"> год в сумме </w:t>
      </w:r>
      <w:r w:rsidR="009D191D">
        <w:rPr>
          <w:sz w:val="28"/>
          <w:szCs w:val="28"/>
        </w:rPr>
        <w:t>8211,8</w:t>
      </w:r>
      <w:r w:rsidR="007E7EAD">
        <w:rPr>
          <w:sz w:val="28"/>
          <w:szCs w:val="28"/>
        </w:rPr>
        <w:t xml:space="preserve"> тыс. рублей.</w:t>
      </w:r>
    </w:p>
    <w:p w:rsidR="00896AFE" w:rsidRDefault="00896AFE" w:rsidP="000675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01.01.2017 года на основании Закона Воронежской области от 01.06.2016. №81-ОЗ полномочия по созданию дорожного фонда переданы на уровень муниципального района. Дорожный фонд на 201</w:t>
      </w:r>
      <w:r w:rsidR="009D191D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создан в размере </w:t>
      </w:r>
      <w:r w:rsidR="009D191D">
        <w:rPr>
          <w:sz w:val="28"/>
          <w:szCs w:val="28"/>
        </w:rPr>
        <w:t>7565</w:t>
      </w:r>
      <w:r>
        <w:rPr>
          <w:sz w:val="28"/>
          <w:szCs w:val="28"/>
        </w:rPr>
        <w:t xml:space="preserve"> тыс. рублей, что соответствует сумме поступлений от уплаты акцизов на дизельное топливо, моторные масла, автомобильный бензин. В 201</w:t>
      </w:r>
      <w:r w:rsidR="009D191D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9D191D">
        <w:rPr>
          <w:sz w:val="28"/>
          <w:szCs w:val="28"/>
        </w:rPr>
        <w:t>20</w:t>
      </w:r>
      <w:r>
        <w:rPr>
          <w:sz w:val="28"/>
          <w:szCs w:val="28"/>
        </w:rPr>
        <w:t>гг. дорожный фонд планируется</w:t>
      </w:r>
      <w:r w:rsidR="003F1367">
        <w:rPr>
          <w:sz w:val="28"/>
          <w:szCs w:val="28"/>
        </w:rPr>
        <w:t xml:space="preserve"> в сумме </w:t>
      </w:r>
      <w:r w:rsidR="009D191D">
        <w:rPr>
          <w:sz w:val="28"/>
          <w:szCs w:val="28"/>
        </w:rPr>
        <w:t>8235</w:t>
      </w:r>
      <w:r w:rsidR="003F1367">
        <w:rPr>
          <w:sz w:val="28"/>
          <w:szCs w:val="28"/>
        </w:rPr>
        <w:t xml:space="preserve"> тыс. рублей и </w:t>
      </w:r>
      <w:r w:rsidR="009D191D">
        <w:rPr>
          <w:sz w:val="28"/>
          <w:szCs w:val="28"/>
        </w:rPr>
        <w:t>8912</w:t>
      </w:r>
      <w:r w:rsidR="003F1367">
        <w:rPr>
          <w:sz w:val="28"/>
          <w:szCs w:val="28"/>
        </w:rPr>
        <w:t xml:space="preserve"> тыс. рублей, что также соответствуетсуммам поступлений от уплаты акцизов на дизельное топливо, моторные масла, автомобильный бензин. Формирование дорожного фонда на 201</w:t>
      </w:r>
      <w:r w:rsidR="009D191D">
        <w:rPr>
          <w:sz w:val="28"/>
          <w:szCs w:val="28"/>
        </w:rPr>
        <w:t>8</w:t>
      </w:r>
      <w:r w:rsidR="003F1367">
        <w:rPr>
          <w:sz w:val="28"/>
          <w:szCs w:val="28"/>
        </w:rPr>
        <w:t xml:space="preserve"> год и плановый период 201</w:t>
      </w:r>
      <w:r w:rsidR="009D191D">
        <w:rPr>
          <w:sz w:val="28"/>
          <w:szCs w:val="28"/>
        </w:rPr>
        <w:t>9</w:t>
      </w:r>
      <w:r w:rsidR="003F1367">
        <w:rPr>
          <w:sz w:val="28"/>
          <w:szCs w:val="28"/>
        </w:rPr>
        <w:t>-20</w:t>
      </w:r>
      <w:r w:rsidR="009D191D">
        <w:rPr>
          <w:sz w:val="28"/>
          <w:szCs w:val="28"/>
        </w:rPr>
        <w:t xml:space="preserve">20 </w:t>
      </w:r>
      <w:r w:rsidR="003F1367">
        <w:rPr>
          <w:sz w:val="28"/>
          <w:szCs w:val="28"/>
        </w:rPr>
        <w:t>гг. соответствует п. 5, ст.179.4 БК РФ.</w:t>
      </w:r>
    </w:p>
    <w:p w:rsidR="00421D78" w:rsidRDefault="00067574" w:rsidP="000675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4E3C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целевые программы являются одним из важнейших инструментов реализации целей и приоритетных направлений социально-экономического развития района. </w:t>
      </w:r>
      <w:r w:rsidR="00345741">
        <w:rPr>
          <w:sz w:val="28"/>
          <w:szCs w:val="28"/>
        </w:rPr>
        <w:t>В соответствии со ст. 179 Постановлением администрации Репьевского муниципального района от 30.10.2013г. №297, утвержден Порядок разработки, реализации и оценки эффективности муниципальных программ Репьевского муниципального района. Также распоряжением администрации Репьевского муниципального района от 2</w:t>
      </w:r>
      <w:r w:rsidR="0082293C">
        <w:rPr>
          <w:sz w:val="28"/>
          <w:szCs w:val="28"/>
        </w:rPr>
        <w:t>4</w:t>
      </w:r>
      <w:r w:rsidR="00345741">
        <w:rPr>
          <w:sz w:val="28"/>
          <w:szCs w:val="28"/>
        </w:rPr>
        <w:t>.</w:t>
      </w:r>
      <w:r w:rsidR="0082293C">
        <w:rPr>
          <w:sz w:val="28"/>
          <w:szCs w:val="28"/>
        </w:rPr>
        <w:t>09</w:t>
      </w:r>
      <w:r w:rsidR="00345741">
        <w:rPr>
          <w:sz w:val="28"/>
          <w:szCs w:val="28"/>
        </w:rPr>
        <w:t>.201</w:t>
      </w:r>
      <w:r w:rsidR="0082293C">
        <w:rPr>
          <w:sz w:val="28"/>
          <w:szCs w:val="28"/>
        </w:rPr>
        <w:t>5</w:t>
      </w:r>
      <w:r w:rsidR="00345741">
        <w:rPr>
          <w:sz w:val="28"/>
          <w:szCs w:val="28"/>
        </w:rPr>
        <w:t>г. №</w:t>
      </w:r>
      <w:r w:rsidR="0082293C">
        <w:rPr>
          <w:sz w:val="28"/>
          <w:szCs w:val="28"/>
        </w:rPr>
        <w:t>180</w:t>
      </w:r>
      <w:r w:rsidR="00345741">
        <w:rPr>
          <w:sz w:val="28"/>
          <w:szCs w:val="28"/>
        </w:rPr>
        <w:t>-р, утвержден Перечень муниципальных программ. В соответствии с приложением №</w:t>
      </w:r>
      <w:r w:rsidR="00AA3FAD">
        <w:rPr>
          <w:sz w:val="28"/>
          <w:szCs w:val="28"/>
        </w:rPr>
        <w:t>8</w:t>
      </w:r>
      <w:r w:rsidR="00044E3C">
        <w:rPr>
          <w:sz w:val="28"/>
          <w:szCs w:val="28"/>
        </w:rPr>
        <w:t>, №</w:t>
      </w:r>
      <w:r w:rsidR="00AA3FAD">
        <w:rPr>
          <w:sz w:val="28"/>
          <w:szCs w:val="28"/>
        </w:rPr>
        <w:t>9</w:t>
      </w:r>
      <w:r w:rsidR="00345741">
        <w:rPr>
          <w:sz w:val="28"/>
          <w:szCs w:val="28"/>
        </w:rPr>
        <w:t xml:space="preserve"> утверждено распределение бюджетных ассигнований по </w:t>
      </w:r>
      <w:r w:rsidR="0082293C">
        <w:rPr>
          <w:sz w:val="28"/>
          <w:szCs w:val="28"/>
        </w:rPr>
        <w:t>целевым статьям (</w:t>
      </w:r>
      <w:r w:rsidR="00345741">
        <w:rPr>
          <w:sz w:val="28"/>
          <w:szCs w:val="28"/>
        </w:rPr>
        <w:t>муниципальным программам</w:t>
      </w:r>
      <w:r w:rsidR="0082293C">
        <w:rPr>
          <w:sz w:val="28"/>
          <w:szCs w:val="28"/>
        </w:rPr>
        <w:t>)</w:t>
      </w:r>
      <w:r w:rsidR="00345741">
        <w:rPr>
          <w:sz w:val="28"/>
          <w:szCs w:val="28"/>
        </w:rPr>
        <w:t>.</w:t>
      </w:r>
      <w:r w:rsidR="00044E3C">
        <w:rPr>
          <w:sz w:val="28"/>
          <w:szCs w:val="28"/>
        </w:rPr>
        <w:t xml:space="preserve"> Показатели бюджета по расходам соответствует показателям финансового обеспечения программных мероприятий.</w:t>
      </w:r>
      <w:r w:rsidR="00345741">
        <w:rPr>
          <w:sz w:val="28"/>
          <w:szCs w:val="28"/>
        </w:rPr>
        <w:t xml:space="preserve">Ассигнования распределены по </w:t>
      </w:r>
      <w:r w:rsidR="00044E3C">
        <w:rPr>
          <w:sz w:val="28"/>
          <w:szCs w:val="28"/>
        </w:rPr>
        <w:t>двенадцати</w:t>
      </w:r>
      <w:r w:rsidR="00345741">
        <w:rPr>
          <w:sz w:val="28"/>
          <w:szCs w:val="28"/>
        </w:rPr>
        <w:t xml:space="preserve"> из муниципальны</w:t>
      </w:r>
      <w:r w:rsidR="00044E3C">
        <w:rPr>
          <w:sz w:val="28"/>
          <w:szCs w:val="28"/>
        </w:rPr>
        <w:t xml:space="preserve">м </w:t>
      </w:r>
      <w:r w:rsidR="00345741">
        <w:rPr>
          <w:sz w:val="28"/>
          <w:szCs w:val="28"/>
        </w:rPr>
        <w:t xml:space="preserve"> программ. При составлении проекта бюджета применялся </w:t>
      </w:r>
      <w:r>
        <w:rPr>
          <w:sz w:val="28"/>
          <w:szCs w:val="28"/>
        </w:rPr>
        <w:t>прогр</w:t>
      </w:r>
      <w:r w:rsidR="00421D78">
        <w:rPr>
          <w:sz w:val="28"/>
          <w:szCs w:val="28"/>
        </w:rPr>
        <w:t>аммно-целевой метод организации деятельности. Все вышеперечисленное свидетельствует о соблюдении ст. 179 БК РФ.</w:t>
      </w:r>
    </w:p>
    <w:p w:rsidR="001C3108" w:rsidRDefault="001C3108" w:rsidP="000675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</w:t>
      </w:r>
      <w:r w:rsidR="00AA3FAD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муниципальные гарантии муниципального района не предоставляются.</w:t>
      </w:r>
    </w:p>
    <w:p w:rsidR="00067574" w:rsidRDefault="00421D78" w:rsidP="000675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Структура и содержание представленного проекта бюджета в основном соответствует Бюджетному Кодексу РФ. Документы и материалы, представленные одновременно с проектом бюджета, отвечают перечню определенному ст. 184.1 – 184.2 БК РФ.</w:t>
      </w:r>
    </w:p>
    <w:p w:rsidR="007623F6" w:rsidRDefault="00DB426D" w:rsidP="00D378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 Репьевского муниципального района Воронежской области в целом соответствует Бюджетному Кодексу РФ и Положению «О бюджетном процессе в Репьевском муниципальном районе».</w:t>
      </w:r>
      <w:r w:rsidR="00421D78">
        <w:rPr>
          <w:sz w:val="28"/>
          <w:szCs w:val="28"/>
        </w:rPr>
        <w:t xml:space="preserve"> Контрольно-счетная палата Репьевского муниципального района</w:t>
      </w:r>
      <w:r w:rsidR="00D37812">
        <w:rPr>
          <w:sz w:val="28"/>
          <w:szCs w:val="28"/>
        </w:rPr>
        <w:t xml:space="preserve">  не усматривает причин для его отклонения.</w:t>
      </w:r>
    </w:p>
    <w:p w:rsidR="00DC1FB6" w:rsidRDefault="00DC1FB6" w:rsidP="007623F6">
      <w:pPr>
        <w:rPr>
          <w:sz w:val="28"/>
          <w:szCs w:val="28"/>
        </w:rPr>
      </w:pPr>
    </w:p>
    <w:p w:rsidR="001C3108" w:rsidRDefault="001C3108" w:rsidP="007623F6">
      <w:pPr>
        <w:rPr>
          <w:sz w:val="28"/>
          <w:szCs w:val="28"/>
        </w:rPr>
      </w:pPr>
    </w:p>
    <w:p w:rsidR="001C3108" w:rsidRDefault="001C3108" w:rsidP="007623F6">
      <w:pPr>
        <w:rPr>
          <w:sz w:val="28"/>
          <w:szCs w:val="28"/>
        </w:rPr>
      </w:pPr>
    </w:p>
    <w:p w:rsidR="001C3108" w:rsidRDefault="001C3108" w:rsidP="007623F6">
      <w:pPr>
        <w:rPr>
          <w:sz w:val="28"/>
          <w:szCs w:val="28"/>
        </w:rPr>
      </w:pPr>
    </w:p>
    <w:p w:rsidR="00DC1FB6" w:rsidRDefault="00DC1FB6" w:rsidP="007623F6">
      <w:pPr>
        <w:rPr>
          <w:sz w:val="28"/>
          <w:szCs w:val="28"/>
        </w:rPr>
      </w:pPr>
    </w:p>
    <w:p w:rsidR="00ED0B83" w:rsidRDefault="00ED0B83" w:rsidP="007623F6">
      <w:pPr>
        <w:rPr>
          <w:sz w:val="28"/>
          <w:szCs w:val="28"/>
        </w:rPr>
      </w:pPr>
      <w:r>
        <w:rPr>
          <w:sz w:val="28"/>
          <w:szCs w:val="28"/>
        </w:rPr>
        <w:t xml:space="preserve">Инспектор </w:t>
      </w:r>
    </w:p>
    <w:p w:rsidR="00ED0B83" w:rsidRDefault="00ED0B83" w:rsidP="007623F6">
      <w:pPr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  </w:t>
      </w:r>
    </w:p>
    <w:p w:rsidR="007623F6" w:rsidRDefault="00ED0B83" w:rsidP="00D37812">
      <w:r>
        <w:rPr>
          <w:sz w:val="28"/>
          <w:szCs w:val="28"/>
        </w:rPr>
        <w:t xml:space="preserve">Репьевского муниципального района                                            </w:t>
      </w:r>
      <w:r w:rsidR="006A6BBA">
        <w:rPr>
          <w:sz w:val="28"/>
          <w:szCs w:val="28"/>
        </w:rPr>
        <w:t xml:space="preserve">С.В. </w:t>
      </w:r>
      <w:r w:rsidR="00DC1FB6">
        <w:rPr>
          <w:sz w:val="28"/>
          <w:szCs w:val="28"/>
        </w:rPr>
        <w:t>Акульшина</w:t>
      </w:r>
    </w:p>
    <w:sectPr w:rsidR="007623F6" w:rsidSect="004B66F1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623F6"/>
    <w:rsid w:val="00006276"/>
    <w:rsid w:val="0003124F"/>
    <w:rsid w:val="00037DFD"/>
    <w:rsid w:val="00044E3C"/>
    <w:rsid w:val="000573E9"/>
    <w:rsid w:val="000649E7"/>
    <w:rsid w:val="00067574"/>
    <w:rsid w:val="00067F56"/>
    <w:rsid w:val="00097085"/>
    <w:rsid w:val="000C0408"/>
    <w:rsid w:val="000D19CD"/>
    <w:rsid w:val="000E339F"/>
    <w:rsid w:val="000E715D"/>
    <w:rsid w:val="0010218C"/>
    <w:rsid w:val="0011271E"/>
    <w:rsid w:val="00120780"/>
    <w:rsid w:val="00127E72"/>
    <w:rsid w:val="0013642C"/>
    <w:rsid w:val="00155251"/>
    <w:rsid w:val="00162394"/>
    <w:rsid w:val="0016543B"/>
    <w:rsid w:val="00181BE7"/>
    <w:rsid w:val="00185852"/>
    <w:rsid w:val="0018648D"/>
    <w:rsid w:val="001A3A74"/>
    <w:rsid w:val="001C0131"/>
    <w:rsid w:val="001C3108"/>
    <w:rsid w:val="001E350F"/>
    <w:rsid w:val="001E3CFF"/>
    <w:rsid w:val="001F1E66"/>
    <w:rsid w:val="0020286E"/>
    <w:rsid w:val="002033F6"/>
    <w:rsid w:val="00207020"/>
    <w:rsid w:val="0021314F"/>
    <w:rsid w:val="00217EAB"/>
    <w:rsid w:val="00221C34"/>
    <w:rsid w:val="0022311A"/>
    <w:rsid w:val="0023337D"/>
    <w:rsid w:val="00237555"/>
    <w:rsid w:val="00252FA1"/>
    <w:rsid w:val="00253DEE"/>
    <w:rsid w:val="00263722"/>
    <w:rsid w:val="00281A4D"/>
    <w:rsid w:val="00295B72"/>
    <w:rsid w:val="002A2A65"/>
    <w:rsid w:val="002D2976"/>
    <w:rsid w:val="002D7141"/>
    <w:rsid w:val="002E232F"/>
    <w:rsid w:val="002F49E1"/>
    <w:rsid w:val="002F73E6"/>
    <w:rsid w:val="00300943"/>
    <w:rsid w:val="00306F78"/>
    <w:rsid w:val="0032531E"/>
    <w:rsid w:val="00331B99"/>
    <w:rsid w:val="003351FD"/>
    <w:rsid w:val="00341101"/>
    <w:rsid w:val="00345741"/>
    <w:rsid w:val="00345F18"/>
    <w:rsid w:val="003461DA"/>
    <w:rsid w:val="00362DCE"/>
    <w:rsid w:val="0037098D"/>
    <w:rsid w:val="003A1B38"/>
    <w:rsid w:val="003B0D62"/>
    <w:rsid w:val="003C037B"/>
    <w:rsid w:val="003F1367"/>
    <w:rsid w:val="003F596C"/>
    <w:rsid w:val="004167DB"/>
    <w:rsid w:val="00416A6E"/>
    <w:rsid w:val="00416DEC"/>
    <w:rsid w:val="00421D78"/>
    <w:rsid w:val="00425018"/>
    <w:rsid w:val="004314FA"/>
    <w:rsid w:val="00432824"/>
    <w:rsid w:val="00434D00"/>
    <w:rsid w:val="0043792E"/>
    <w:rsid w:val="0045619C"/>
    <w:rsid w:val="00467F91"/>
    <w:rsid w:val="0047585E"/>
    <w:rsid w:val="00481921"/>
    <w:rsid w:val="00494F3D"/>
    <w:rsid w:val="004A14E6"/>
    <w:rsid w:val="004A201F"/>
    <w:rsid w:val="004B0D8F"/>
    <w:rsid w:val="004B3A39"/>
    <w:rsid w:val="004B66F1"/>
    <w:rsid w:val="004E16EB"/>
    <w:rsid w:val="004F01A7"/>
    <w:rsid w:val="004F55ED"/>
    <w:rsid w:val="00514706"/>
    <w:rsid w:val="00515BF0"/>
    <w:rsid w:val="00531077"/>
    <w:rsid w:val="005431CA"/>
    <w:rsid w:val="00570DE3"/>
    <w:rsid w:val="00574593"/>
    <w:rsid w:val="005841C2"/>
    <w:rsid w:val="00584E6B"/>
    <w:rsid w:val="0059038B"/>
    <w:rsid w:val="00590A16"/>
    <w:rsid w:val="00595E9C"/>
    <w:rsid w:val="00596B07"/>
    <w:rsid w:val="005A716B"/>
    <w:rsid w:val="005C00C7"/>
    <w:rsid w:val="005C6600"/>
    <w:rsid w:val="005D0B8E"/>
    <w:rsid w:val="005D36D8"/>
    <w:rsid w:val="005E7508"/>
    <w:rsid w:val="005F5F4F"/>
    <w:rsid w:val="0061275B"/>
    <w:rsid w:val="00612E13"/>
    <w:rsid w:val="00612F80"/>
    <w:rsid w:val="00613C9F"/>
    <w:rsid w:val="0061469D"/>
    <w:rsid w:val="006748AD"/>
    <w:rsid w:val="0068571B"/>
    <w:rsid w:val="00686E71"/>
    <w:rsid w:val="006A033A"/>
    <w:rsid w:val="006A39C3"/>
    <w:rsid w:val="006A6BBA"/>
    <w:rsid w:val="006A7651"/>
    <w:rsid w:val="006C1AB9"/>
    <w:rsid w:val="006D4EC8"/>
    <w:rsid w:val="006E04CF"/>
    <w:rsid w:val="006E49D6"/>
    <w:rsid w:val="00735299"/>
    <w:rsid w:val="00742E4E"/>
    <w:rsid w:val="007612A9"/>
    <w:rsid w:val="007623F6"/>
    <w:rsid w:val="00776BF9"/>
    <w:rsid w:val="00797913"/>
    <w:rsid w:val="007B12F3"/>
    <w:rsid w:val="007B31D9"/>
    <w:rsid w:val="007B59F5"/>
    <w:rsid w:val="007B63C1"/>
    <w:rsid w:val="007C1B84"/>
    <w:rsid w:val="007C465B"/>
    <w:rsid w:val="007C55FA"/>
    <w:rsid w:val="007E0F50"/>
    <w:rsid w:val="007E7EAD"/>
    <w:rsid w:val="008142E7"/>
    <w:rsid w:val="0082293C"/>
    <w:rsid w:val="00824911"/>
    <w:rsid w:val="008267F6"/>
    <w:rsid w:val="00835423"/>
    <w:rsid w:val="00846094"/>
    <w:rsid w:val="008521D1"/>
    <w:rsid w:val="00854B61"/>
    <w:rsid w:val="008554BA"/>
    <w:rsid w:val="008579FB"/>
    <w:rsid w:val="008965ED"/>
    <w:rsid w:val="00896AFE"/>
    <w:rsid w:val="00897205"/>
    <w:rsid w:val="008A5885"/>
    <w:rsid w:val="008B6336"/>
    <w:rsid w:val="008B65BA"/>
    <w:rsid w:val="008B6E13"/>
    <w:rsid w:val="008C6105"/>
    <w:rsid w:val="008C751D"/>
    <w:rsid w:val="008D5754"/>
    <w:rsid w:val="008D7CCF"/>
    <w:rsid w:val="008E3BDB"/>
    <w:rsid w:val="008E3D56"/>
    <w:rsid w:val="008F06AB"/>
    <w:rsid w:val="008F14C9"/>
    <w:rsid w:val="008F6FB9"/>
    <w:rsid w:val="009153DE"/>
    <w:rsid w:val="009160D3"/>
    <w:rsid w:val="009204F7"/>
    <w:rsid w:val="00923503"/>
    <w:rsid w:val="009315D9"/>
    <w:rsid w:val="00936037"/>
    <w:rsid w:val="0094496E"/>
    <w:rsid w:val="00952000"/>
    <w:rsid w:val="00957D61"/>
    <w:rsid w:val="00994ACD"/>
    <w:rsid w:val="009A5E4A"/>
    <w:rsid w:val="009B1916"/>
    <w:rsid w:val="009B4284"/>
    <w:rsid w:val="009C0F89"/>
    <w:rsid w:val="009C6883"/>
    <w:rsid w:val="009D191D"/>
    <w:rsid w:val="009F2322"/>
    <w:rsid w:val="00A13A2C"/>
    <w:rsid w:val="00A14A07"/>
    <w:rsid w:val="00A32D68"/>
    <w:rsid w:val="00A41A60"/>
    <w:rsid w:val="00A56758"/>
    <w:rsid w:val="00A577BF"/>
    <w:rsid w:val="00A61474"/>
    <w:rsid w:val="00A64318"/>
    <w:rsid w:val="00AA2F1F"/>
    <w:rsid w:val="00AA3FAD"/>
    <w:rsid w:val="00AB36D3"/>
    <w:rsid w:val="00AC1F22"/>
    <w:rsid w:val="00AC60DD"/>
    <w:rsid w:val="00AD6D63"/>
    <w:rsid w:val="00AD7617"/>
    <w:rsid w:val="00AE16C0"/>
    <w:rsid w:val="00AE5552"/>
    <w:rsid w:val="00AF30A8"/>
    <w:rsid w:val="00B04157"/>
    <w:rsid w:val="00B05F29"/>
    <w:rsid w:val="00B06D9F"/>
    <w:rsid w:val="00B06EE5"/>
    <w:rsid w:val="00B0707C"/>
    <w:rsid w:val="00B10A16"/>
    <w:rsid w:val="00B15E30"/>
    <w:rsid w:val="00B206BF"/>
    <w:rsid w:val="00B27168"/>
    <w:rsid w:val="00B85F12"/>
    <w:rsid w:val="00B94328"/>
    <w:rsid w:val="00BC17AC"/>
    <w:rsid w:val="00BC2E85"/>
    <w:rsid w:val="00BD2DDE"/>
    <w:rsid w:val="00BF3BC7"/>
    <w:rsid w:val="00BF5F1D"/>
    <w:rsid w:val="00C00836"/>
    <w:rsid w:val="00C03E18"/>
    <w:rsid w:val="00C04B49"/>
    <w:rsid w:val="00C61CD1"/>
    <w:rsid w:val="00C66042"/>
    <w:rsid w:val="00C8430A"/>
    <w:rsid w:val="00CA0797"/>
    <w:rsid w:val="00CA47A7"/>
    <w:rsid w:val="00CA5D44"/>
    <w:rsid w:val="00CC0351"/>
    <w:rsid w:val="00CC2A7D"/>
    <w:rsid w:val="00CD6F2F"/>
    <w:rsid w:val="00CE709A"/>
    <w:rsid w:val="00CF63DE"/>
    <w:rsid w:val="00D162A4"/>
    <w:rsid w:val="00D21DCC"/>
    <w:rsid w:val="00D254C6"/>
    <w:rsid w:val="00D37812"/>
    <w:rsid w:val="00D37951"/>
    <w:rsid w:val="00D4043B"/>
    <w:rsid w:val="00D534FC"/>
    <w:rsid w:val="00D53E71"/>
    <w:rsid w:val="00D95CDA"/>
    <w:rsid w:val="00D97597"/>
    <w:rsid w:val="00DB426D"/>
    <w:rsid w:val="00DC1FB6"/>
    <w:rsid w:val="00DC4189"/>
    <w:rsid w:val="00DC50F3"/>
    <w:rsid w:val="00DD0A16"/>
    <w:rsid w:val="00DD2028"/>
    <w:rsid w:val="00DD496B"/>
    <w:rsid w:val="00DE171F"/>
    <w:rsid w:val="00DE5A41"/>
    <w:rsid w:val="00DE7D86"/>
    <w:rsid w:val="00DF1C81"/>
    <w:rsid w:val="00DF648A"/>
    <w:rsid w:val="00E02940"/>
    <w:rsid w:val="00E3008F"/>
    <w:rsid w:val="00E44521"/>
    <w:rsid w:val="00E57FDB"/>
    <w:rsid w:val="00E72AFD"/>
    <w:rsid w:val="00E938E8"/>
    <w:rsid w:val="00E9528F"/>
    <w:rsid w:val="00ED0B83"/>
    <w:rsid w:val="00EF36F9"/>
    <w:rsid w:val="00F028F7"/>
    <w:rsid w:val="00F03E5B"/>
    <w:rsid w:val="00F05B88"/>
    <w:rsid w:val="00F1709F"/>
    <w:rsid w:val="00F17BEA"/>
    <w:rsid w:val="00F20CE7"/>
    <w:rsid w:val="00F2738B"/>
    <w:rsid w:val="00F27603"/>
    <w:rsid w:val="00F315A9"/>
    <w:rsid w:val="00F34060"/>
    <w:rsid w:val="00F36451"/>
    <w:rsid w:val="00F37D96"/>
    <w:rsid w:val="00F56AA9"/>
    <w:rsid w:val="00F6257D"/>
    <w:rsid w:val="00F804A9"/>
    <w:rsid w:val="00F854E7"/>
    <w:rsid w:val="00F91097"/>
    <w:rsid w:val="00FA04AE"/>
    <w:rsid w:val="00FA68EB"/>
    <w:rsid w:val="00FB6D5B"/>
    <w:rsid w:val="00FE28B8"/>
    <w:rsid w:val="00FE4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6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584E6B"/>
    <w:rPr>
      <w:rFonts w:ascii="Calibri" w:eastAsia="Times New Roman" w:hAnsi="Calibri" w:cs="Times New Roman"/>
      <w:sz w:val="22"/>
      <w:szCs w:val="22"/>
    </w:rPr>
  </w:style>
  <w:style w:type="paragraph" w:styleId="a5">
    <w:name w:val="Balloon Text"/>
    <w:basedOn w:val="a"/>
    <w:link w:val="a6"/>
    <w:rsid w:val="00B943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3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5E30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caption"/>
    <w:basedOn w:val="a"/>
    <w:next w:val="a"/>
    <w:unhideWhenUsed/>
    <w:qFormat/>
    <w:rsid w:val="004314FA"/>
    <w:pPr>
      <w:spacing w:after="200"/>
    </w:pPr>
    <w:rPr>
      <w:b/>
      <w:bCs/>
      <w:color w:val="4F81BD" w:themeColor="accent1"/>
      <w:sz w:val="18"/>
      <w:szCs w:val="18"/>
    </w:rPr>
  </w:style>
  <w:style w:type="table" w:styleId="a8">
    <w:name w:val="Table Grid"/>
    <w:basedOn w:val="a1"/>
    <w:rsid w:val="00F80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9AC5393EF62FDA85D515D099005B5445B8F3DBBBCC2426F47E2BFFD7F9CE4E386021A4AD99289DA29M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6.xml"/><Relationship Id="rId4" Type="http://schemas.openxmlformats.org/officeDocument/2006/relationships/chart" Target="charts/chart1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доходы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52326</c:v>
                </c:pt>
                <c:pt idx="1">
                  <c:v>55873</c:v>
                </c:pt>
                <c:pt idx="2">
                  <c:v>59656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31-4D07-BB4A-FD807F8098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209691.1</c:v>
                </c:pt>
                <c:pt idx="1">
                  <c:v>147757.5</c:v>
                </c:pt>
                <c:pt idx="2">
                  <c:v>158099.29999999999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B31-4D07-BB4A-FD807F80989B}"/>
            </c:ext>
          </c:extLst>
        </c:ser>
        <c:dLbls/>
        <c:axId val="83194240"/>
        <c:axId val="83195776"/>
      </c:barChart>
      <c:catAx>
        <c:axId val="83194240"/>
        <c:scaling>
          <c:orientation val="minMax"/>
        </c:scaling>
        <c:axPos val="b"/>
        <c:numFmt formatCode="General" sourceLinked="0"/>
        <c:tickLblPos val="nextTo"/>
        <c:crossAx val="83195776"/>
        <c:crosses val="autoZero"/>
        <c:auto val="1"/>
        <c:lblAlgn val="ctr"/>
        <c:lblOffset val="100"/>
      </c:catAx>
      <c:valAx>
        <c:axId val="83195776"/>
        <c:scaling>
          <c:orientation val="minMax"/>
        </c:scaling>
        <c:axPos val="l"/>
        <c:majorGridlines/>
        <c:numFmt formatCode="General" sourceLinked="1"/>
        <c:tickLblPos val="nextTo"/>
        <c:crossAx val="8319424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налоги на прибыль, доходы</c:v>
                </c:pt>
                <c:pt idx="1">
                  <c:v>налоги на товары</c:v>
                </c:pt>
                <c:pt idx="2">
                  <c:v>налоги на совокупный доход</c:v>
                </c:pt>
                <c:pt idx="3">
                  <c:v>гос. пошлина</c:v>
                </c:pt>
                <c:pt idx="4">
                  <c:v>доходы от использования имущества</c:v>
                </c:pt>
                <c:pt idx="5">
                  <c:v>платежи при пользовании природными ресурсами</c:v>
                </c:pt>
                <c:pt idx="6">
                  <c:v>доходы от платных услуг</c:v>
                </c:pt>
                <c:pt idx="7">
                  <c:v>доходы от продажи активов</c:v>
                </c:pt>
                <c:pt idx="8">
                  <c:v>штрафы, санкции</c:v>
                </c:pt>
                <c:pt idx="9">
                  <c:v>прочие неналоговые доходы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33529</c:v>
                </c:pt>
                <c:pt idx="1">
                  <c:v>7565</c:v>
                </c:pt>
                <c:pt idx="2">
                  <c:v>4115</c:v>
                </c:pt>
                <c:pt idx="3">
                  <c:v>485</c:v>
                </c:pt>
                <c:pt idx="4">
                  <c:v>2854</c:v>
                </c:pt>
                <c:pt idx="5">
                  <c:v>197</c:v>
                </c:pt>
                <c:pt idx="6">
                  <c:v>915</c:v>
                </c:pt>
                <c:pt idx="7">
                  <c:v>140</c:v>
                </c:pt>
                <c:pt idx="8">
                  <c:v>855</c:v>
                </c:pt>
                <c:pt idx="9">
                  <c:v>1671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AD0-49CC-9041-D9EBB9FCE97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налоги на прибыль, доходы</c:v>
                </c:pt>
                <c:pt idx="1">
                  <c:v>налоги на товары</c:v>
                </c:pt>
                <c:pt idx="2">
                  <c:v>налоги на совокупный доход</c:v>
                </c:pt>
                <c:pt idx="3">
                  <c:v>гос. пошлина</c:v>
                </c:pt>
                <c:pt idx="4">
                  <c:v>доходы от использования имущества</c:v>
                </c:pt>
                <c:pt idx="5">
                  <c:v>платежи при пользовании природными ресурсами</c:v>
                </c:pt>
                <c:pt idx="6">
                  <c:v>доходы от платных услуг</c:v>
                </c:pt>
                <c:pt idx="7">
                  <c:v>доходы от продажи активов</c:v>
                </c:pt>
                <c:pt idx="8">
                  <c:v>штрафы, санкции</c:v>
                </c:pt>
                <c:pt idx="9">
                  <c:v>прочие неналоговые доходы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36089</c:v>
                </c:pt>
                <c:pt idx="1">
                  <c:v>8235</c:v>
                </c:pt>
                <c:pt idx="2">
                  <c:v>4273</c:v>
                </c:pt>
                <c:pt idx="3">
                  <c:v>500</c:v>
                </c:pt>
                <c:pt idx="4">
                  <c:v>2862</c:v>
                </c:pt>
                <c:pt idx="5">
                  <c:v>204</c:v>
                </c:pt>
                <c:pt idx="6">
                  <c:v>950</c:v>
                </c:pt>
                <c:pt idx="7">
                  <c:v>135</c:v>
                </c:pt>
                <c:pt idx="8">
                  <c:v>890</c:v>
                </c:pt>
                <c:pt idx="9">
                  <c:v>1735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AD0-49CC-9041-D9EBB9FCE97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год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налоги на прибыль, доходы</c:v>
                </c:pt>
                <c:pt idx="1">
                  <c:v>налоги на товары</c:v>
                </c:pt>
                <c:pt idx="2">
                  <c:v>налоги на совокупный доход</c:v>
                </c:pt>
                <c:pt idx="3">
                  <c:v>гос. пошлина</c:v>
                </c:pt>
                <c:pt idx="4">
                  <c:v>доходы от использования имущества</c:v>
                </c:pt>
                <c:pt idx="5">
                  <c:v>платежи при пользовании природными ресурсами</c:v>
                </c:pt>
                <c:pt idx="6">
                  <c:v>доходы от платных услуг</c:v>
                </c:pt>
                <c:pt idx="7">
                  <c:v>доходы от продажи активов</c:v>
                </c:pt>
                <c:pt idx="8">
                  <c:v>штрафы, санкции</c:v>
                </c:pt>
                <c:pt idx="9">
                  <c:v>прочие неналоговые доходы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38857</c:v>
                </c:pt>
                <c:pt idx="1">
                  <c:v>8912</c:v>
                </c:pt>
                <c:pt idx="2">
                  <c:v>4437</c:v>
                </c:pt>
                <c:pt idx="3">
                  <c:v>520</c:v>
                </c:pt>
                <c:pt idx="4">
                  <c:v>2870</c:v>
                </c:pt>
                <c:pt idx="5">
                  <c:v>212</c:v>
                </c:pt>
                <c:pt idx="6">
                  <c:v>991</c:v>
                </c:pt>
                <c:pt idx="7">
                  <c:v>130</c:v>
                </c:pt>
                <c:pt idx="8">
                  <c:v>925</c:v>
                </c:pt>
                <c:pt idx="9">
                  <c:v>1802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AD0-49CC-9041-D9EBB9FCE97F}"/>
            </c:ext>
          </c:extLst>
        </c:ser>
        <c:dLbls/>
        <c:shape val="cylinder"/>
        <c:axId val="83227392"/>
        <c:axId val="83228928"/>
        <c:axId val="0"/>
      </c:bar3DChart>
      <c:catAx>
        <c:axId val="83227392"/>
        <c:scaling>
          <c:orientation val="minMax"/>
        </c:scaling>
        <c:axPos val="b"/>
        <c:numFmt formatCode="General" sourceLinked="1"/>
        <c:tickLblPos val="nextTo"/>
        <c:crossAx val="83228928"/>
        <c:crosses val="autoZero"/>
        <c:auto val="1"/>
        <c:lblAlgn val="ctr"/>
        <c:lblOffset val="100"/>
      </c:catAx>
      <c:valAx>
        <c:axId val="83228928"/>
        <c:scaling>
          <c:orientation val="minMax"/>
        </c:scaling>
        <c:axPos val="l"/>
        <c:majorGridlines/>
        <c:numFmt formatCode="General" sourceLinked="1"/>
        <c:tickLblPos val="nextTo"/>
        <c:crossAx val="832273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доходы бюджета Репьевского района на 2017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налоги на прибыль, доходы</c:v>
                </c:pt>
                <c:pt idx="1">
                  <c:v>налоги на товары</c:v>
                </c:pt>
                <c:pt idx="2">
                  <c:v>налоги на совокупный доход</c:v>
                </c:pt>
                <c:pt idx="3">
                  <c:v>гос. пошлина</c:v>
                </c:pt>
                <c:pt idx="4">
                  <c:v>неналоговые доходы</c:v>
                </c:pt>
              </c:strCache>
            </c:strRef>
          </c:cat>
          <c:val>
            <c:numRef>
              <c:f>Лист1!$B$2:$B$6</c:f>
              <c:numCache>
                <c:formatCode>0</c:formatCode>
                <c:ptCount val="5"/>
                <c:pt idx="0">
                  <c:v>30483</c:v>
                </c:pt>
                <c:pt idx="1">
                  <c:v>6829</c:v>
                </c:pt>
                <c:pt idx="2">
                  <c:v>4304</c:v>
                </c:pt>
                <c:pt idx="3">
                  <c:v>468</c:v>
                </c:pt>
                <c:pt idx="4">
                  <c:v>8632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1D-4285-B043-B5245E2C6BA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собственные доходы бюджета Репьевского района на 2018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налоги на прибыль, доходы</c:v>
                </c:pt>
                <c:pt idx="1">
                  <c:v>налоги на товары</c:v>
                </c:pt>
                <c:pt idx="2">
                  <c:v>налоги на совокупный доход</c:v>
                </c:pt>
                <c:pt idx="3">
                  <c:v>гос. пошлина</c:v>
                </c:pt>
                <c:pt idx="4">
                  <c:v>неналоговые доходы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 formatCode="0">
                  <c:v>33529</c:v>
                </c:pt>
                <c:pt idx="1">
                  <c:v>7565</c:v>
                </c:pt>
                <c:pt idx="2" formatCode="0">
                  <c:v>4115</c:v>
                </c:pt>
                <c:pt idx="3" formatCode="0">
                  <c:v>485</c:v>
                </c:pt>
                <c:pt idx="4" formatCode="0">
                  <c:v>6632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81D-4285-B043-B5245E2C6BAD}"/>
            </c:ext>
          </c:extLst>
        </c:ser>
        <c:dLbls/>
        <c:axId val="83317888"/>
        <c:axId val="83319424"/>
      </c:barChart>
      <c:catAx>
        <c:axId val="83317888"/>
        <c:scaling>
          <c:orientation val="minMax"/>
        </c:scaling>
        <c:axPos val="b"/>
        <c:numFmt formatCode="General" sourceLinked="0"/>
        <c:tickLblPos val="nextTo"/>
        <c:crossAx val="83319424"/>
        <c:crosses val="autoZero"/>
        <c:auto val="1"/>
        <c:lblAlgn val="ctr"/>
        <c:lblOffset val="100"/>
      </c:catAx>
      <c:valAx>
        <c:axId val="83319424"/>
        <c:scaling>
          <c:orientation val="minMax"/>
        </c:scaling>
        <c:delete val="1"/>
        <c:axPos val="l"/>
        <c:majorGridlines/>
        <c:numFmt formatCode="0" sourceLinked="1"/>
        <c:tickLblPos val="nextTo"/>
        <c:crossAx val="83317888"/>
        <c:crosses val="autoZero"/>
        <c:crossBetween val="between"/>
      </c:valAx>
    </c:plotArea>
    <c:legend>
      <c:legendPos val="b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20503189705453484"/>
          <c:y val="4.4057617797775339E-2"/>
          <c:w val="0.63099938028579838"/>
          <c:h val="0.65625213681957195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dLbls>
            <c:dLbl>
              <c:idx val="4"/>
              <c:layout>
                <c:manualLayout>
                  <c:x val="5.772005772005772E-3"/>
                  <c:y val="-3.611738148984200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580-4E8C-9C15-4C7983A0F769}"/>
                </c:ext>
              </c:extLst>
            </c:dLbl>
            <c:dLbl>
              <c:idx val="6"/>
              <c:layout>
                <c:manualLayout>
                  <c:x val="0"/>
                  <c:y val="-5.718585402558316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580-4E8C-9C15-4C7983A0F769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нац. безопасность</c:v>
                </c:pt>
                <c:pt idx="2">
                  <c:v>нац. экономика</c:v>
                </c:pt>
                <c:pt idx="3">
                  <c:v>ЖКХ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6">
                  <c:v>соц. политика</c:v>
                </c:pt>
                <c:pt idx="7">
                  <c:v>физ. культура, спорт</c:v>
                </c:pt>
                <c:pt idx="8">
                  <c:v>обслуживание долга</c:v>
                </c:pt>
                <c:pt idx="9">
                  <c:v>межбюджетные трансферты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39198.699999999997</c:v>
                </c:pt>
                <c:pt idx="1">
                  <c:v>100</c:v>
                </c:pt>
                <c:pt idx="2">
                  <c:v>8274.7000000000007</c:v>
                </c:pt>
                <c:pt idx="3">
                  <c:v>200</c:v>
                </c:pt>
                <c:pt idx="4">
                  <c:v>136390.9</c:v>
                </c:pt>
                <c:pt idx="5">
                  <c:v>21216.5</c:v>
                </c:pt>
                <c:pt idx="6">
                  <c:v>11969.4</c:v>
                </c:pt>
                <c:pt idx="7">
                  <c:v>6807</c:v>
                </c:pt>
                <c:pt idx="8">
                  <c:v>300</c:v>
                </c:pt>
                <c:pt idx="9">
                  <c:v>26613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580-4E8C-9C15-4C7983A0F7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dLbls>
            <c:dLbl>
              <c:idx val="5"/>
              <c:layout>
                <c:manualLayout>
                  <c:x val="0"/>
                  <c:y val="-3.009781790820167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580-4E8C-9C15-4C7983A0F769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нац. безопасность</c:v>
                </c:pt>
                <c:pt idx="2">
                  <c:v>нац. экономика</c:v>
                </c:pt>
                <c:pt idx="3">
                  <c:v>ЖКХ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6">
                  <c:v>соц. политика</c:v>
                </c:pt>
                <c:pt idx="7">
                  <c:v>физ. культура, спорт</c:v>
                </c:pt>
                <c:pt idx="8">
                  <c:v>обслуживание долга</c:v>
                </c:pt>
                <c:pt idx="9">
                  <c:v>межбюджетные трансферты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38306.300000000003</c:v>
                </c:pt>
                <c:pt idx="1">
                  <c:v>100</c:v>
                </c:pt>
                <c:pt idx="2">
                  <c:v>9403.6</c:v>
                </c:pt>
                <c:pt idx="3">
                  <c:v>653</c:v>
                </c:pt>
                <c:pt idx="4">
                  <c:v>140615.5</c:v>
                </c:pt>
                <c:pt idx="5">
                  <c:v>33844.6</c:v>
                </c:pt>
                <c:pt idx="6">
                  <c:v>9936.2999999999938</c:v>
                </c:pt>
                <c:pt idx="7">
                  <c:v>6974.5</c:v>
                </c:pt>
                <c:pt idx="8">
                  <c:v>100</c:v>
                </c:pt>
                <c:pt idx="9">
                  <c:v>24507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580-4E8C-9C15-4C7983A0F76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нац. безопасность</c:v>
                </c:pt>
                <c:pt idx="2">
                  <c:v>нац. экономика</c:v>
                </c:pt>
                <c:pt idx="3">
                  <c:v>ЖКХ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6">
                  <c:v>соц. политика</c:v>
                </c:pt>
                <c:pt idx="7">
                  <c:v>физ. культура, спорт</c:v>
                </c:pt>
                <c:pt idx="8">
                  <c:v>обслуживание долга</c:v>
                </c:pt>
                <c:pt idx="9">
                  <c:v>межбюджетные трансферты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24570.3</c:v>
                </c:pt>
                <c:pt idx="1">
                  <c:v>50</c:v>
                </c:pt>
                <c:pt idx="2">
                  <c:v>9654.1</c:v>
                </c:pt>
                <c:pt idx="3">
                  <c:v>153</c:v>
                </c:pt>
                <c:pt idx="4">
                  <c:v>129888.3</c:v>
                </c:pt>
                <c:pt idx="5">
                  <c:v>18007.900000000001</c:v>
                </c:pt>
                <c:pt idx="6">
                  <c:v>10720.6</c:v>
                </c:pt>
                <c:pt idx="7">
                  <c:v>3552.3</c:v>
                </c:pt>
                <c:pt idx="8">
                  <c:v>100</c:v>
                </c:pt>
                <c:pt idx="9">
                  <c:v>4566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580-4E8C-9C15-4C7983A0F76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нац. безопасность</c:v>
                </c:pt>
                <c:pt idx="2">
                  <c:v>нац. экономика</c:v>
                </c:pt>
                <c:pt idx="3">
                  <c:v>ЖКХ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6">
                  <c:v>соц. политика</c:v>
                </c:pt>
                <c:pt idx="7">
                  <c:v>физ. культура, спорт</c:v>
                </c:pt>
                <c:pt idx="8">
                  <c:v>обслуживание долга</c:v>
                </c:pt>
                <c:pt idx="9">
                  <c:v>межбюджетные трансферты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24581.3</c:v>
                </c:pt>
                <c:pt idx="1">
                  <c:v>50</c:v>
                </c:pt>
                <c:pt idx="2">
                  <c:v>10329.9</c:v>
                </c:pt>
                <c:pt idx="3">
                  <c:v>153</c:v>
                </c:pt>
                <c:pt idx="4">
                  <c:v>138153</c:v>
                </c:pt>
                <c:pt idx="5">
                  <c:v>17157.900000000001</c:v>
                </c:pt>
                <c:pt idx="6">
                  <c:v>11050.9</c:v>
                </c:pt>
                <c:pt idx="7">
                  <c:v>3552.3</c:v>
                </c:pt>
                <c:pt idx="8">
                  <c:v>0</c:v>
                </c:pt>
                <c:pt idx="9">
                  <c:v>4672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580-4E8C-9C15-4C7983A0F769}"/>
            </c:ext>
          </c:extLst>
        </c:ser>
        <c:dLbls/>
        <c:shape val="box"/>
        <c:axId val="83354752"/>
        <c:axId val="83356288"/>
        <c:axId val="0"/>
      </c:bar3DChart>
      <c:catAx>
        <c:axId val="83354752"/>
        <c:scaling>
          <c:orientation val="minMax"/>
        </c:scaling>
        <c:axPos val="b"/>
        <c:numFmt formatCode="General" sourceLinked="0"/>
        <c:tickLblPos val="nextTo"/>
        <c:crossAx val="83356288"/>
        <c:crosses val="autoZero"/>
        <c:auto val="1"/>
        <c:lblAlgn val="ctr"/>
        <c:lblOffset val="100"/>
      </c:catAx>
      <c:valAx>
        <c:axId val="83356288"/>
        <c:scaling>
          <c:orientation val="minMax"/>
        </c:scaling>
        <c:axPos val="l"/>
        <c:majorGridlines/>
        <c:numFmt formatCode="0%" sourceLinked="1"/>
        <c:tickLblPos val="nextTo"/>
        <c:crossAx val="833547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9.3879228638086981E-2"/>
          <c:y val="4.4057617797775311E-2"/>
          <c:w val="0.82317056722076409"/>
          <c:h val="0.730184976877890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dLbls>
            <c:dLbl>
              <c:idx val="0"/>
              <c:layout>
                <c:manualLayout>
                  <c:x val="-7.8778926637124574E-3"/>
                  <c:y val="1.587301587301587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A10-40FC-9364-8B1E117476D1}"/>
                </c:ext>
              </c:extLst>
            </c:dLbl>
            <c:dLbl>
              <c:idx val="1"/>
              <c:layout>
                <c:manualLayout>
                  <c:x val="0"/>
                  <c:y val="-6.74603174603174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A10-40FC-9364-8B1E117476D1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пенсионное обеспечение</c:v>
                </c:pt>
                <c:pt idx="1">
                  <c:v>соц. Обеспечение населения</c:v>
                </c:pt>
                <c:pt idx="2">
                  <c:v>охрана семьи и детства</c:v>
                </c:pt>
                <c:pt idx="3">
                  <c:v>другие вопросы в области соц. полиики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2990</c:v>
                </c:pt>
                <c:pt idx="1">
                  <c:v>1195.3</c:v>
                </c:pt>
                <c:pt idx="2">
                  <c:v>7739.1</c:v>
                </c:pt>
                <c:pt idx="3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A10-40FC-9364-8B1E117476D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dLbls>
            <c:dLbl>
              <c:idx val="0"/>
              <c:layout>
                <c:manualLayout>
                  <c:x val="1.1816838995568697E-2"/>
                  <c:y val="1.587301587301587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A10-40FC-9364-8B1E117476D1}"/>
                </c:ext>
              </c:extLst>
            </c:dLbl>
            <c:dLbl>
              <c:idx val="1"/>
              <c:layout>
                <c:manualLayout>
                  <c:x val="0"/>
                  <c:y val="-4.365079365079367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A10-40FC-9364-8B1E117476D1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пенсионное обеспечение</c:v>
                </c:pt>
                <c:pt idx="1">
                  <c:v>соц. Обеспечение населения</c:v>
                </c:pt>
                <c:pt idx="2">
                  <c:v>охрана семьи и детства</c:v>
                </c:pt>
                <c:pt idx="3">
                  <c:v>другие вопросы в области соц. полиики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2990</c:v>
                </c:pt>
                <c:pt idx="1">
                  <c:v>1014.9</c:v>
                </c:pt>
                <c:pt idx="2">
                  <c:v>5931.4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A10-40FC-9364-8B1E117476D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год</c:v>
                </c:pt>
              </c:strCache>
            </c:strRef>
          </c:tx>
          <c:dLbls>
            <c:dLbl>
              <c:idx val="1"/>
              <c:layout>
                <c:manualLayout>
                  <c:x val="5.9084194977843492E-3"/>
                  <c:y val="-3.96825396825396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FA10-40FC-9364-8B1E117476D1}"/>
                </c:ext>
              </c:extLst>
            </c:dLbl>
            <c:dLbl>
              <c:idx val="2"/>
              <c:layout>
                <c:manualLayout>
                  <c:x val="-1.3786312161496799E-2"/>
                  <c:y val="-1.984126984126984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FA10-40FC-9364-8B1E117476D1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пенсионное обеспечение</c:v>
                </c:pt>
                <c:pt idx="1">
                  <c:v>соц. Обеспечение населения</c:v>
                </c:pt>
                <c:pt idx="2">
                  <c:v>охрана семьи и детства</c:v>
                </c:pt>
                <c:pt idx="3">
                  <c:v>другие вопросы в области соц. полиики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1990</c:v>
                </c:pt>
                <c:pt idx="1">
                  <c:v>880</c:v>
                </c:pt>
                <c:pt idx="2">
                  <c:v>7850.6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A10-40FC-9364-8B1E117476D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 год</c:v>
                </c:pt>
              </c:strCache>
            </c:strRef>
          </c:tx>
          <c:dLbls>
            <c:dLbl>
              <c:idx val="0"/>
              <c:layout>
                <c:manualLayout>
                  <c:x val="1.5755785327424915E-2"/>
                  <c:y val="7.9365079365079413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FA10-40FC-9364-8B1E117476D1}"/>
                </c:ext>
              </c:extLst>
            </c:dLbl>
            <c:dLbl>
              <c:idx val="2"/>
              <c:layout>
                <c:manualLayout>
                  <c:x val="2.1664204825209272E-2"/>
                  <c:y val="1.984126984126985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FA10-40FC-9364-8B1E117476D1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пенсионное обеспечение</c:v>
                </c:pt>
                <c:pt idx="1">
                  <c:v>соц. Обеспечение населения</c:v>
                </c:pt>
                <c:pt idx="2">
                  <c:v>охрана семьи и детства</c:v>
                </c:pt>
                <c:pt idx="3">
                  <c:v>другие вопросы в области соц. полиики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1990</c:v>
                </c:pt>
                <c:pt idx="1">
                  <c:v>919.1</c:v>
                </c:pt>
                <c:pt idx="2">
                  <c:v>8141.8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FA10-40FC-9364-8B1E117476D1}"/>
            </c:ext>
          </c:extLst>
        </c:ser>
        <c:dLbls/>
        <c:axId val="88041344"/>
        <c:axId val="88042880"/>
      </c:barChart>
      <c:catAx>
        <c:axId val="88041344"/>
        <c:scaling>
          <c:orientation val="minMax"/>
        </c:scaling>
        <c:axPos val="b"/>
        <c:numFmt formatCode="General" sourceLinked="0"/>
        <c:tickLblPos val="nextTo"/>
        <c:crossAx val="88042880"/>
        <c:crosses val="autoZero"/>
        <c:auto val="1"/>
        <c:lblAlgn val="ctr"/>
        <c:lblOffset val="100"/>
      </c:catAx>
      <c:valAx>
        <c:axId val="88042880"/>
        <c:scaling>
          <c:orientation val="minMax"/>
        </c:scaling>
        <c:axPos val="l"/>
        <c:majorGridlines/>
        <c:numFmt formatCode="General" sourceLinked="1"/>
        <c:tickLblPos val="nextTo"/>
        <c:crossAx val="880413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ксп</c:v>
                </c:pt>
                <c:pt idx="1">
                  <c:v>администрация Репьевского муниципального района</c:v>
                </c:pt>
                <c:pt idx="2">
                  <c:v>фин. Отдел</c:v>
                </c:pt>
                <c:pt idx="3">
                  <c:v>резервный фонд</c:v>
                </c:pt>
                <c:pt idx="4">
                  <c:v>др. вопросы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409</c:v>
                </c:pt>
                <c:pt idx="1">
                  <c:v>13447.4</c:v>
                </c:pt>
                <c:pt idx="2">
                  <c:v>3571.2</c:v>
                </c:pt>
                <c:pt idx="3">
                  <c:v>4757.4000000000005</c:v>
                </c:pt>
                <c:pt idx="4">
                  <c:v>16121.3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4E0-4AB4-8112-3CBB50348CA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layout>
                <c:manualLayout>
                  <c:x val="-6.9444444444444458E-3"/>
                  <c:y val="-4.761904761904762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4E0-4AB4-8112-3CBB50348CAB}"/>
                </c:ext>
              </c:extLst>
            </c:dLbl>
            <c:dLbl>
              <c:idx val="2"/>
              <c:layout>
                <c:manualLayout>
                  <c:x val="4.6296296296296302E-3"/>
                  <c:y val="-4.761904761904762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4E0-4AB4-8112-3CBB50348CAB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ксп</c:v>
                </c:pt>
                <c:pt idx="1">
                  <c:v>администрация Репьевского муниципального района</c:v>
                </c:pt>
                <c:pt idx="2">
                  <c:v>фин. Отдел</c:v>
                </c:pt>
                <c:pt idx="3">
                  <c:v>резервный фонд</c:v>
                </c:pt>
                <c:pt idx="4">
                  <c:v>др. вопросы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409</c:v>
                </c:pt>
                <c:pt idx="1">
                  <c:v>9489</c:v>
                </c:pt>
                <c:pt idx="2">
                  <c:v>3110.6</c:v>
                </c:pt>
                <c:pt idx="4">
                  <c:v>11561.7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4E0-4AB4-8112-3CBB50348CA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0"/>
              <c:layout>
                <c:manualLayout>
                  <c:x val="-4.6296296296296302E-3"/>
                  <c:y val="-3.9682539682539689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4E0-4AB4-8112-3CBB50348CAB}"/>
                </c:ext>
              </c:extLst>
            </c:dLbl>
            <c:dLbl>
              <c:idx val="1"/>
              <c:layout>
                <c:manualLayout>
                  <c:x val="2.5462962962962965E-2"/>
                  <c:y val="1.190476190476190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4E0-4AB4-8112-3CBB50348CAB}"/>
                </c:ext>
              </c:extLst>
            </c:dLbl>
            <c:dLbl>
              <c:idx val="2"/>
              <c:layout>
                <c:manualLayout>
                  <c:x val="2.777777777777779E-2"/>
                  <c:y val="4.761904761904762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74E0-4AB4-8112-3CBB50348CAB}"/>
                </c:ext>
              </c:extLst>
            </c:dLbl>
            <c:dLbl>
              <c:idx val="4"/>
              <c:layout>
                <c:manualLayout>
                  <c:x val="3.4722222222222224E-2"/>
                  <c:y val="7.142857142857142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4E0-4AB4-8112-3CBB50348CAB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ксп</c:v>
                </c:pt>
                <c:pt idx="1">
                  <c:v>администрация Репьевского муниципального района</c:v>
                </c:pt>
                <c:pt idx="2">
                  <c:v>фин. Отдел</c:v>
                </c:pt>
                <c:pt idx="3">
                  <c:v>резервный фонд</c:v>
                </c:pt>
                <c:pt idx="4">
                  <c:v>др. вопросы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409</c:v>
                </c:pt>
                <c:pt idx="1">
                  <c:v>9489</c:v>
                </c:pt>
                <c:pt idx="2">
                  <c:v>3110.6</c:v>
                </c:pt>
                <c:pt idx="4">
                  <c:v>11572.7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4E0-4AB4-8112-3CBB50348CAB}"/>
            </c:ext>
          </c:extLst>
        </c:ser>
        <c:dLbls/>
        <c:axId val="88106496"/>
        <c:axId val="88108032"/>
      </c:barChart>
      <c:catAx>
        <c:axId val="88106496"/>
        <c:scaling>
          <c:orientation val="minMax"/>
        </c:scaling>
        <c:axPos val="b"/>
        <c:numFmt formatCode="General" sourceLinked="0"/>
        <c:tickLblPos val="nextTo"/>
        <c:crossAx val="88108032"/>
        <c:crosses val="autoZero"/>
        <c:auto val="1"/>
        <c:lblAlgn val="ctr"/>
        <c:lblOffset val="100"/>
      </c:catAx>
      <c:valAx>
        <c:axId val="88108032"/>
        <c:scaling>
          <c:orientation val="minMax"/>
        </c:scaling>
        <c:axPos val="l"/>
        <c:majorGridlines/>
        <c:numFmt formatCode="General" sourceLinked="1"/>
        <c:tickLblPos val="nextTo"/>
        <c:crossAx val="881064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8670</TotalTime>
  <Pages>10</Pages>
  <Words>2548</Words>
  <Characters>17964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Акульшина Светлана В.</cp:lastModifiedBy>
  <cp:revision>39</cp:revision>
  <cp:lastPrinted>2018-02-07T08:54:00Z</cp:lastPrinted>
  <dcterms:created xsi:type="dcterms:W3CDTF">2008-12-01T09:36:00Z</dcterms:created>
  <dcterms:modified xsi:type="dcterms:W3CDTF">2018-02-07T08:55:00Z</dcterms:modified>
</cp:coreProperties>
</file>