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F6" w:rsidRDefault="007623F6" w:rsidP="00762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7623F6" w:rsidRDefault="007623F6" w:rsidP="007623F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К Л Ю Ч Е Н И Е</w:t>
      </w:r>
    </w:p>
    <w:p w:rsidR="00584E6B" w:rsidRDefault="00584E6B" w:rsidP="007623F6">
      <w:pPr>
        <w:jc w:val="center"/>
        <w:rPr>
          <w:b/>
          <w:sz w:val="28"/>
          <w:szCs w:val="28"/>
        </w:rPr>
      </w:pPr>
    </w:p>
    <w:p w:rsidR="007623F6" w:rsidRDefault="007623F6" w:rsidP="00762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районного бюджета Репьевского муниципального района Воронежской области на 20</w:t>
      </w:r>
      <w:r w:rsidR="00F315A9">
        <w:rPr>
          <w:b/>
          <w:sz w:val="28"/>
          <w:szCs w:val="28"/>
        </w:rPr>
        <w:t>1</w:t>
      </w:r>
      <w:r w:rsidR="005F5F4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  <w:r w:rsidR="005F5F4F">
        <w:rPr>
          <w:b/>
          <w:sz w:val="28"/>
          <w:szCs w:val="28"/>
        </w:rPr>
        <w:t xml:space="preserve"> и плановый период 2018-2019гг.</w:t>
      </w:r>
      <w:bookmarkStart w:id="0" w:name="_GoBack"/>
      <w:bookmarkEnd w:id="0"/>
    </w:p>
    <w:p w:rsidR="009153DE" w:rsidRDefault="009153DE" w:rsidP="007623F6">
      <w:pPr>
        <w:jc w:val="center"/>
        <w:rPr>
          <w:b/>
          <w:sz w:val="28"/>
          <w:szCs w:val="28"/>
        </w:rPr>
      </w:pPr>
    </w:p>
    <w:p w:rsidR="00E72AFD" w:rsidRDefault="00E72AFD" w:rsidP="00E72A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Репьевка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«20» декабря 2016г.</w:t>
      </w:r>
    </w:p>
    <w:p w:rsidR="000649E7" w:rsidRDefault="009153DE" w:rsidP="009153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153DE" w:rsidRDefault="009153DE" w:rsidP="00064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и утверждение проекта  бюджета Репьевского муниципального района Воронежской области (далее по тексту проект  бюджета), проводилось в соответствии с БК РФ и Положением  «О бюджетном процессе в Репьевском муниципальном районе», утвержденным решением Совета народных депутатов района </w:t>
      </w:r>
      <w:r w:rsidRPr="00ED0B83">
        <w:rPr>
          <w:sz w:val="28"/>
          <w:szCs w:val="28"/>
        </w:rPr>
        <w:t>от 22.02.2008г. №237</w:t>
      </w:r>
      <w:r>
        <w:rPr>
          <w:sz w:val="28"/>
          <w:szCs w:val="28"/>
        </w:rPr>
        <w:t xml:space="preserve"> (в ред. от </w:t>
      </w:r>
      <w:r w:rsidR="00846094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846094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846094">
        <w:rPr>
          <w:sz w:val="28"/>
          <w:szCs w:val="28"/>
        </w:rPr>
        <w:t>13</w:t>
      </w:r>
      <w:r>
        <w:rPr>
          <w:sz w:val="28"/>
          <w:szCs w:val="28"/>
        </w:rPr>
        <w:t>г. №</w:t>
      </w:r>
      <w:r w:rsidR="00846094">
        <w:rPr>
          <w:sz w:val="28"/>
          <w:szCs w:val="28"/>
        </w:rPr>
        <w:t>96</w:t>
      </w:r>
      <w:r>
        <w:rPr>
          <w:sz w:val="28"/>
          <w:szCs w:val="28"/>
        </w:rPr>
        <w:t>).</w:t>
      </w:r>
      <w:r w:rsidR="008965ED">
        <w:rPr>
          <w:sz w:val="28"/>
          <w:szCs w:val="28"/>
        </w:rPr>
        <w:t xml:space="preserve"> С 2009 года в отношении бюджета Репьевского муниципального района</w:t>
      </w:r>
      <w:r w:rsidR="00253DEE">
        <w:rPr>
          <w:sz w:val="28"/>
          <w:szCs w:val="28"/>
        </w:rPr>
        <w:t xml:space="preserve"> применяются дополнительные меры</w:t>
      </w:r>
      <w:r w:rsidR="0094496E">
        <w:rPr>
          <w:sz w:val="28"/>
          <w:szCs w:val="28"/>
        </w:rPr>
        <w:t>,</w:t>
      </w:r>
      <w:r w:rsidR="00253DEE">
        <w:rPr>
          <w:sz w:val="28"/>
          <w:szCs w:val="28"/>
        </w:rPr>
        <w:t xml:space="preserve"> установленные п.4, ст.136 БК РФ, а также Постановлением администрации Воронежской области №154 от 27.02.2008г.</w:t>
      </w:r>
      <w:r w:rsidR="008965ED">
        <w:rPr>
          <w:sz w:val="28"/>
          <w:szCs w:val="28"/>
        </w:rPr>
        <w:t xml:space="preserve">                             </w:t>
      </w:r>
    </w:p>
    <w:p w:rsidR="00B10A16" w:rsidRDefault="009153DE" w:rsidP="00B10A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 бюджета на 201</w:t>
      </w:r>
      <w:r w:rsidR="00E72AFD">
        <w:rPr>
          <w:sz w:val="28"/>
          <w:szCs w:val="28"/>
        </w:rPr>
        <w:t>7</w:t>
      </w:r>
      <w:r>
        <w:rPr>
          <w:sz w:val="28"/>
          <w:szCs w:val="28"/>
        </w:rPr>
        <w:t xml:space="preserve"> год утвержден </w:t>
      </w:r>
      <w:r w:rsidR="00481921">
        <w:rPr>
          <w:sz w:val="28"/>
          <w:szCs w:val="28"/>
        </w:rPr>
        <w:t xml:space="preserve"> </w:t>
      </w:r>
      <w:r w:rsidR="0094496E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администрации Репьевского муниципального района от </w:t>
      </w:r>
      <w:r w:rsidR="00E72AFD">
        <w:rPr>
          <w:sz w:val="28"/>
          <w:szCs w:val="28"/>
        </w:rPr>
        <w:t>08</w:t>
      </w:r>
      <w:r>
        <w:rPr>
          <w:sz w:val="28"/>
          <w:szCs w:val="28"/>
        </w:rPr>
        <w:t>.11.201</w:t>
      </w:r>
      <w:r w:rsidR="00E72AFD">
        <w:rPr>
          <w:sz w:val="28"/>
          <w:szCs w:val="28"/>
        </w:rPr>
        <w:t>6</w:t>
      </w:r>
      <w:r>
        <w:rPr>
          <w:sz w:val="28"/>
          <w:szCs w:val="28"/>
        </w:rPr>
        <w:t>г. №</w:t>
      </w:r>
      <w:r w:rsidR="00F34060">
        <w:rPr>
          <w:sz w:val="28"/>
          <w:szCs w:val="28"/>
        </w:rPr>
        <w:t>2</w:t>
      </w:r>
      <w:r w:rsidR="00E72AFD">
        <w:rPr>
          <w:sz w:val="28"/>
          <w:szCs w:val="28"/>
        </w:rPr>
        <w:t>27</w:t>
      </w:r>
      <w:r>
        <w:rPr>
          <w:sz w:val="28"/>
          <w:szCs w:val="28"/>
        </w:rPr>
        <w:t xml:space="preserve"> «Об утверждении проекта бюджета Репьевского муниципального района на 201</w:t>
      </w:r>
      <w:r w:rsidR="00E72AFD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E72AFD">
        <w:rPr>
          <w:sz w:val="28"/>
          <w:szCs w:val="28"/>
        </w:rPr>
        <w:t xml:space="preserve"> и плановый период 2018 и 2019 годов»</w:t>
      </w:r>
      <w:r>
        <w:rPr>
          <w:sz w:val="28"/>
          <w:szCs w:val="28"/>
        </w:rPr>
        <w:t>. Составление проекта бюджета основывалось на  прогнозе социально-экономического развития Репьевского муниципального района, основных направлениях бюджетной и налоговой политики.</w:t>
      </w:r>
      <w:r w:rsidR="00B10A16">
        <w:rPr>
          <w:sz w:val="28"/>
          <w:szCs w:val="28"/>
        </w:rPr>
        <w:t xml:space="preserve"> </w:t>
      </w:r>
      <w:proofErr w:type="gramStart"/>
      <w:r w:rsidR="00B10A16">
        <w:rPr>
          <w:sz w:val="28"/>
          <w:szCs w:val="28"/>
        </w:rPr>
        <w:t>В соответствии со ст. 184.2 БК РФ в Постановлении «</w:t>
      </w:r>
      <w:r w:rsidR="0094496E">
        <w:rPr>
          <w:sz w:val="28"/>
          <w:szCs w:val="28"/>
        </w:rPr>
        <w:t>О</w:t>
      </w:r>
      <w:r w:rsidR="00B10A16">
        <w:rPr>
          <w:sz w:val="28"/>
          <w:szCs w:val="28"/>
        </w:rPr>
        <w:t>б утверждении проекта бюджета Репьевского муниципального района на 201</w:t>
      </w:r>
      <w:r w:rsidR="00E72AFD">
        <w:rPr>
          <w:sz w:val="28"/>
          <w:szCs w:val="28"/>
        </w:rPr>
        <w:t>7</w:t>
      </w:r>
      <w:r w:rsidR="00B10A16">
        <w:rPr>
          <w:sz w:val="28"/>
          <w:szCs w:val="28"/>
        </w:rPr>
        <w:t xml:space="preserve"> год</w:t>
      </w:r>
      <w:r w:rsidR="00E72AFD">
        <w:rPr>
          <w:sz w:val="28"/>
          <w:szCs w:val="28"/>
        </w:rPr>
        <w:t xml:space="preserve"> и плановый период 2018 и 2019 годов</w:t>
      </w:r>
      <w:r w:rsidR="00B10A16">
        <w:rPr>
          <w:sz w:val="28"/>
          <w:szCs w:val="28"/>
        </w:rPr>
        <w:t xml:space="preserve">» утверждены: основные направления бюджетной и налоговой политики, прогноз социально-экономического развития, пояснительная записка к проекту бюджета, методики и расчеты распределения межбюджетных трансфертов, верхний предел муниципального долга, программа муниципальных внутренних заимствований. </w:t>
      </w:r>
      <w:proofErr w:type="gramEnd"/>
    </w:p>
    <w:p w:rsidR="009B4284" w:rsidRDefault="009153DE" w:rsidP="00E72A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6EE5">
        <w:rPr>
          <w:sz w:val="28"/>
          <w:szCs w:val="28"/>
        </w:rPr>
        <w:t xml:space="preserve">Прогноз социально-экономического развития Репьевского муниципального района </w:t>
      </w:r>
      <w:r w:rsidR="00742E4E" w:rsidRPr="00B06EE5">
        <w:rPr>
          <w:sz w:val="28"/>
          <w:szCs w:val="28"/>
        </w:rPr>
        <w:t xml:space="preserve"> </w:t>
      </w:r>
      <w:r w:rsidRPr="00B06EE5">
        <w:rPr>
          <w:sz w:val="28"/>
          <w:szCs w:val="28"/>
        </w:rPr>
        <w:t xml:space="preserve">Воронежской области на </w:t>
      </w:r>
      <w:r w:rsidR="00D37951" w:rsidRPr="00B06EE5">
        <w:rPr>
          <w:sz w:val="28"/>
          <w:szCs w:val="28"/>
        </w:rPr>
        <w:t>период до 201</w:t>
      </w:r>
      <w:r w:rsidR="00DF648A">
        <w:rPr>
          <w:sz w:val="28"/>
          <w:szCs w:val="28"/>
        </w:rPr>
        <w:t>9</w:t>
      </w:r>
      <w:r w:rsidR="00D37951" w:rsidRPr="00B06EE5">
        <w:rPr>
          <w:sz w:val="28"/>
          <w:szCs w:val="28"/>
        </w:rPr>
        <w:t>г</w:t>
      </w:r>
      <w:r w:rsidRPr="00B06EE5">
        <w:rPr>
          <w:sz w:val="28"/>
          <w:szCs w:val="28"/>
        </w:rPr>
        <w:t xml:space="preserve">. подготовлен отделом по экономике, управлению муниципальным имуществом администрации Репьевского муниципального района. </w:t>
      </w:r>
      <w:r w:rsidR="00DF648A">
        <w:rPr>
          <w:sz w:val="28"/>
          <w:szCs w:val="28"/>
        </w:rPr>
        <w:t xml:space="preserve"> По разделу «сельское хозяйство» данные прогноза говорят о том, что основными производителями сельскохозяйственной продукции, являются семь сельхозпредприятий. Наиболее стабильными остаются ООО «Колбино», ООО «Бутырки», ООО «Истобное». Основная прибыль предприятий получена за счет реализации продукции растениеводства и незначительная часть от общей выручки приходится на животноводство. На 2017-2019 гг. валовое производство зерна и подсолнечника возрастет за счет увеличения урожайности сельскохозяйственных культур. Планируется увеличение посевных площадей, внедрение новых ресурсосберегающих технологий, применение энергосберегающей техники. </w:t>
      </w:r>
      <w:r w:rsidR="00C61CD1">
        <w:rPr>
          <w:sz w:val="28"/>
          <w:szCs w:val="28"/>
        </w:rPr>
        <w:t>На территории муниципального района реализуется инвестиционный проект в сфере отрасли животноводства «Строительство животноводческого комплекса по откорму и выращиванию молодняка КРС на 2100 голов». Стоимость проекта составляет 172,75 млн. рублей. Также в ООО «Колбино» строится элеваторный комплекс вместимостью 15 тыс. тонн. Сметная стоимость данного проекта 250 млн. рублей.</w:t>
      </w:r>
      <w:r w:rsidR="00952000">
        <w:rPr>
          <w:sz w:val="28"/>
          <w:szCs w:val="28"/>
        </w:rPr>
        <w:t xml:space="preserve"> Динамика развития сельского хозяйства представлена в таблице №1.</w:t>
      </w:r>
    </w:p>
    <w:p w:rsidR="004314FA" w:rsidRDefault="004314FA" w:rsidP="00E72AFD">
      <w:pPr>
        <w:jc w:val="both"/>
        <w:rPr>
          <w:sz w:val="28"/>
          <w:szCs w:val="28"/>
        </w:rPr>
      </w:pPr>
    </w:p>
    <w:p w:rsidR="00570DE3" w:rsidRDefault="00570DE3" w:rsidP="00570DE3">
      <w:pPr>
        <w:pStyle w:val="a7"/>
        <w:keepNext/>
        <w:jc w:val="both"/>
      </w:pPr>
      <w:r>
        <w:lastRenderedPageBreak/>
        <w:t xml:space="preserve">Таблица </w:t>
      </w:r>
      <w:r w:rsidR="004E16EB">
        <w:t>№</w:t>
      </w:r>
      <w:r w:rsidR="005F5F4F">
        <w:fldChar w:fldCharType="begin"/>
      </w:r>
      <w:r w:rsidR="005F5F4F">
        <w:instrText xml:space="preserve"> SEQ Таблица \* ARABIC </w:instrText>
      </w:r>
      <w:r w:rsidR="005F5F4F">
        <w:fldChar w:fldCharType="separate"/>
      </w:r>
      <w:r w:rsidR="008521D1">
        <w:rPr>
          <w:noProof/>
        </w:rPr>
        <w:t>1</w:t>
      </w:r>
      <w:r w:rsidR="005F5F4F">
        <w:rPr>
          <w:noProof/>
        </w:rPr>
        <w:fldChar w:fldCharType="end"/>
      </w:r>
      <w:r>
        <w:t xml:space="preserve"> </w:t>
      </w:r>
      <w:r w:rsidR="004E16EB">
        <w:t>Д</w:t>
      </w:r>
      <w:r w:rsidRPr="004E16EB">
        <w:rPr>
          <w:sz w:val="24"/>
          <w:szCs w:val="24"/>
        </w:rPr>
        <w:t>инамика валовой продукции сельского хозяйства, прибыль</w:t>
      </w:r>
      <w:r>
        <w:t>.</w:t>
      </w:r>
    </w:p>
    <w:p w:rsidR="004314FA" w:rsidRDefault="004314FA" w:rsidP="00E72A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686627" wp14:editId="5323B78A">
            <wp:extent cx="5486400" cy="34861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314FA" w:rsidRDefault="004314FA" w:rsidP="00E72AFD">
      <w:pPr>
        <w:jc w:val="both"/>
        <w:rPr>
          <w:sz w:val="28"/>
          <w:szCs w:val="28"/>
        </w:rPr>
      </w:pPr>
    </w:p>
    <w:p w:rsidR="004314FA" w:rsidRDefault="00C61CD1" w:rsidP="00E72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14FA" w:rsidRDefault="004314FA" w:rsidP="00E72AFD">
      <w:pPr>
        <w:jc w:val="both"/>
        <w:rPr>
          <w:sz w:val="28"/>
          <w:szCs w:val="28"/>
        </w:rPr>
      </w:pPr>
    </w:p>
    <w:p w:rsidR="004314FA" w:rsidRDefault="006E49D6" w:rsidP="00E72AFD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данным прогноза в 2017 году денежные доходы населения составят 3179 млн. рублей или 109,3% к уровню 2016 года. Увеличение доходов обусловлено социальной направленностью бюджетной политики. В целях улучшения «инвестиционного климата» проведена работа по формированию инвестиционно-привлекательных земельных участков, предлагаемых для размещения производств в аграрном секторе и промышленном производстве. Сформировано 12 инвестиционных площадок с соответствующей инфраструктурой. Все предложения размещены на официальном сайте в сети Интернет. Район имеет статус «с особой системой государственной поддержки», что дает инвесторам благоприятные условия для развития. Промышленность в районе представлен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«Синтез-Ойл» (обрабатывающая промышленность), ООО РУК «Репьевская», ООО «Тепловое и гостиничное хозяйство» (производство и распределение электроэнергии, газа и воды). По прогнозу в 2017-2019гг. планируется увеличение промышленного производства за счет реализации инвестиционного проект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«Синтез-Ойл». </w:t>
      </w:r>
      <w:r w:rsidR="00570DE3">
        <w:rPr>
          <w:sz w:val="28"/>
          <w:szCs w:val="28"/>
        </w:rPr>
        <w:t xml:space="preserve">Значительную роль в социально-экономическом развитии района играет розничная торговля. </w:t>
      </w:r>
      <w:r>
        <w:rPr>
          <w:sz w:val="28"/>
          <w:szCs w:val="28"/>
        </w:rPr>
        <w:t xml:space="preserve">Численность населения занятого в отрасли торговли составляет 375 человек. Средняя заработная плата – 10942 руб., к 2019 году данный показатель увеличится до 12726 рублей. </w:t>
      </w:r>
      <w:r w:rsidR="004314FA">
        <w:rPr>
          <w:sz w:val="28"/>
          <w:szCs w:val="28"/>
        </w:rPr>
        <w:t xml:space="preserve">Также на территории района оказываются услуги общественного питания. Численность занятых в отрасли общественного питания составляет 50 человек. Средняя заработная плата - 8378 рублей к 2019 году – 10135 рублей. Платные услуги представлены услугами связи, пассажирского транспорта, бытовыми услугами и коммунальными услугами. Рост объема платных услуг обусловлен расширением ранее предоставляемых услуг, а также оказанием новых видов услуг. </w:t>
      </w:r>
      <w:r w:rsidR="00952000">
        <w:rPr>
          <w:sz w:val="28"/>
          <w:szCs w:val="28"/>
        </w:rPr>
        <w:t>Динамика развития данной сферы представлена в таблице №2.</w:t>
      </w:r>
    </w:p>
    <w:p w:rsidR="004314FA" w:rsidRDefault="004314FA" w:rsidP="00E72AFD">
      <w:pPr>
        <w:jc w:val="both"/>
        <w:rPr>
          <w:sz w:val="28"/>
          <w:szCs w:val="28"/>
        </w:rPr>
      </w:pPr>
    </w:p>
    <w:p w:rsidR="00570DE3" w:rsidRDefault="00570DE3" w:rsidP="00570DE3">
      <w:pPr>
        <w:pStyle w:val="a7"/>
        <w:keepNext/>
        <w:jc w:val="both"/>
      </w:pPr>
      <w:r>
        <w:lastRenderedPageBreak/>
        <w:t xml:space="preserve">Таблица </w:t>
      </w:r>
      <w:r w:rsidR="004E16EB">
        <w:t>№</w:t>
      </w:r>
      <w:r>
        <w:t xml:space="preserve">2   </w:t>
      </w:r>
      <w:r w:rsidRPr="004E16EB">
        <w:rPr>
          <w:sz w:val="24"/>
          <w:szCs w:val="24"/>
        </w:rPr>
        <w:t>Динамика платных услуг, розничной торговли, общественного питания.</w:t>
      </w:r>
      <w:r>
        <w:t xml:space="preserve"> </w:t>
      </w:r>
    </w:p>
    <w:p w:rsidR="006E49D6" w:rsidRDefault="006E49D6" w:rsidP="00E72A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450D04" wp14:editId="20110ACD">
            <wp:extent cx="5486400" cy="49434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314FA" w:rsidRDefault="004314FA" w:rsidP="00E72AFD">
      <w:pPr>
        <w:jc w:val="both"/>
        <w:rPr>
          <w:sz w:val="28"/>
          <w:szCs w:val="28"/>
        </w:rPr>
      </w:pPr>
    </w:p>
    <w:p w:rsidR="004314FA" w:rsidRDefault="004314FA" w:rsidP="00E72AFD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районе действует одно автотранспортное предприятие</w:t>
      </w:r>
      <w:r w:rsidR="00570DE3">
        <w:rPr>
          <w:sz w:val="28"/>
          <w:szCs w:val="28"/>
        </w:rPr>
        <w:t xml:space="preserve"> МУП</w:t>
      </w:r>
      <w:r>
        <w:rPr>
          <w:sz w:val="28"/>
          <w:szCs w:val="28"/>
        </w:rPr>
        <w:t xml:space="preserve"> </w:t>
      </w:r>
      <w:r w:rsidRPr="0043792E">
        <w:rPr>
          <w:sz w:val="28"/>
          <w:szCs w:val="28"/>
        </w:rPr>
        <w:t>«Репьевкатранссервис»</w:t>
      </w:r>
      <w:r w:rsidR="0043792E">
        <w:rPr>
          <w:sz w:val="28"/>
          <w:szCs w:val="28"/>
        </w:rPr>
        <w:t xml:space="preserve">. </w:t>
      </w:r>
      <w:r w:rsidR="00570DE3">
        <w:rPr>
          <w:sz w:val="28"/>
          <w:szCs w:val="28"/>
        </w:rPr>
        <w:t>В 2016 году о</w:t>
      </w:r>
      <w:r w:rsidR="0043792E">
        <w:rPr>
          <w:sz w:val="28"/>
          <w:szCs w:val="28"/>
        </w:rPr>
        <w:t xml:space="preserve">т хозяйственной деятельности предприятие получило прибыль 2,3 тыс. рублей. По данным прогноза в 2017 году планируется получить прибыль  в сумме </w:t>
      </w:r>
      <w:r w:rsidR="007612A9">
        <w:rPr>
          <w:sz w:val="28"/>
          <w:szCs w:val="28"/>
        </w:rPr>
        <w:t xml:space="preserve">16,46 тыс. рублей. Одной из основных проблем </w:t>
      </w:r>
      <w:r w:rsidR="00570DE3">
        <w:rPr>
          <w:sz w:val="28"/>
          <w:szCs w:val="28"/>
        </w:rPr>
        <w:t xml:space="preserve">предприятия </w:t>
      </w:r>
      <w:r w:rsidR="007612A9">
        <w:rPr>
          <w:sz w:val="28"/>
          <w:szCs w:val="28"/>
        </w:rPr>
        <w:t>низкий темп обновления автопарка. Средний уровень износа подвижного состава в 2016 году составил 48%</w:t>
      </w:r>
      <w:r w:rsidR="00570DE3">
        <w:rPr>
          <w:sz w:val="28"/>
          <w:szCs w:val="28"/>
        </w:rPr>
        <w:t>,</w:t>
      </w:r>
      <w:r w:rsidR="007612A9">
        <w:rPr>
          <w:sz w:val="28"/>
          <w:szCs w:val="28"/>
        </w:rPr>
        <w:t xml:space="preserve"> </w:t>
      </w:r>
      <w:r w:rsidR="00570DE3">
        <w:rPr>
          <w:sz w:val="28"/>
          <w:szCs w:val="28"/>
        </w:rPr>
        <w:t>в</w:t>
      </w:r>
      <w:r w:rsidR="007612A9">
        <w:rPr>
          <w:sz w:val="28"/>
          <w:szCs w:val="28"/>
        </w:rPr>
        <w:t xml:space="preserve"> 2017 году – 51%, в 2018 году – 53% и в 2019 году – 55%. Соответственно увеличиваются расходы на обслуживание автобусов, что не благоприятно сказывается на прибыли предприятия. Обновление подвижного состава за счет собственных средств</w:t>
      </w:r>
      <w:r w:rsidR="00570DE3">
        <w:rPr>
          <w:sz w:val="28"/>
          <w:szCs w:val="28"/>
        </w:rPr>
        <w:t>,</w:t>
      </w:r>
      <w:r w:rsidR="007612A9">
        <w:rPr>
          <w:sz w:val="28"/>
          <w:szCs w:val="28"/>
        </w:rPr>
        <w:t xml:space="preserve"> предприяти</w:t>
      </w:r>
      <w:r w:rsidR="00570DE3">
        <w:rPr>
          <w:sz w:val="28"/>
          <w:szCs w:val="28"/>
        </w:rPr>
        <w:t>е</w:t>
      </w:r>
      <w:r w:rsidR="007612A9">
        <w:rPr>
          <w:sz w:val="28"/>
          <w:szCs w:val="28"/>
        </w:rPr>
        <w:t xml:space="preserve"> не планирует, ввиду того, что финансовые возможности МУП ограничены. С целью изыскания резервов снижения издержек и повышения доходности администрацией муниципального района ежеквартально проводится анализ финансово-хозяйственной деятельности предприятия. При</w:t>
      </w:r>
      <w:r>
        <w:rPr>
          <w:sz w:val="28"/>
          <w:szCs w:val="28"/>
        </w:rPr>
        <w:t xml:space="preserve"> формировании прогноза по фонду оплаты труда на 2017-2019 гг. основными приоритетами являлись: восстановление роли заработной платы как основного источника дохода трудоспособных граждан, призванного обеспечить платежеспособный спрос, стимулирование развития производства. Фонд заработной платы по прогнозу в 2017 году ожидается в сумме 545,6 млн. рублей. По прогнозу в 2017 году налоговых доходов планируется получить в сумме 142,7 млн. рублей в т.ч.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НДФЛ – 65,1 млн. рублей; налогов на имущество – 41,6 млн. рублей; налогов на совокупный доход – 8,5 млн. рублей. Неналоговые доходы в 2017 году по данным прогноза составят 10,4 млн. рублей.</w:t>
      </w:r>
      <w:r w:rsidR="008F6FB9">
        <w:rPr>
          <w:sz w:val="28"/>
          <w:szCs w:val="28"/>
        </w:rPr>
        <w:t xml:space="preserve"> Динамика налоговых и неналоговых доходов представлена в таблице </w:t>
      </w:r>
      <w:r w:rsidR="008F6FB9">
        <w:rPr>
          <w:sz w:val="28"/>
          <w:szCs w:val="28"/>
        </w:rPr>
        <w:lastRenderedPageBreak/>
        <w:t>№3.</w:t>
      </w:r>
      <w:r>
        <w:rPr>
          <w:sz w:val="28"/>
          <w:szCs w:val="28"/>
        </w:rPr>
        <w:t xml:space="preserve"> На уменьшение доходов повлияло снижение неналоговых доходов от продажи имущества и земельных участков. </w:t>
      </w:r>
    </w:p>
    <w:p w:rsidR="00936037" w:rsidRDefault="00936037" w:rsidP="004314FA">
      <w:pPr>
        <w:pStyle w:val="a7"/>
        <w:keepNext/>
        <w:jc w:val="both"/>
      </w:pPr>
    </w:p>
    <w:p w:rsidR="004314FA" w:rsidRPr="004E16EB" w:rsidRDefault="004314FA" w:rsidP="004314FA">
      <w:pPr>
        <w:pStyle w:val="a7"/>
        <w:keepNext/>
        <w:jc w:val="both"/>
        <w:rPr>
          <w:sz w:val="24"/>
          <w:szCs w:val="24"/>
        </w:rPr>
      </w:pPr>
      <w:r>
        <w:t xml:space="preserve">Таблица </w:t>
      </w:r>
      <w:r w:rsidR="004E16EB">
        <w:t>№</w:t>
      </w:r>
      <w:r w:rsidR="008F6FB9">
        <w:t>3</w:t>
      </w:r>
      <w:r>
        <w:t xml:space="preserve">: </w:t>
      </w:r>
      <w:r w:rsidR="004E16EB">
        <w:rPr>
          <w:sz w:val="24"/>
          <w:szCs w:val="24"/>
        </w:rPr>
        <w:t>А</w:t>
      </w:r>
      <w:r w:rsidRPr="004E16EB">
        <w:rPr>
          <w:sz w:val="24"/>
          <w:szCs w:val="24"/>
        </w:rPr>
        <w:t>нализ раздела "Финансы"</w:t>
      </w:r>
    </w:p>
    <w:p w:rsidR="004314FA" w:rsidRDefault="004314FA" w:rsidP="004314FA">
      <w:pPr>
        <w:keepNext/>
        <w:jc w:val="both"/>
      </w:pPr>
      <w:r>
        <w:rPr>
          <w:noProof/>
          <w:sz w:val="28"/>
          <w:szCs w:val="28"/>
        </w:rPr>
        <w:drawing>
          <wp:inline distT="0" distB="0" distL="0" distR="0" wp14:anchorId="7818A6C2" wp14:editId="64C26B9E">
            <wp:extent cx="5486400" cy="26098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36037" w:rsidRDefault="00936037" w:rsidP="004314FA">
      <w:pPr>
        <w:keepNext/>
        <w:jc w:val="both"/>
      </w:pPr>
    </w:p>
    <w:p w:rsidR="00936037" w:rsidRDefault="00936037" w:rsidP="00E72AFD">
      <w:pPr>
        <w:jc w:val="both"/>
        <w:rPr>
          <w:sz w:val="28"/>
          <w:szCs w:val="28"/>
        </w:rPr>
      </w:pPr>
    </w:p>
    <w:p w:rsidR="00936037" w:rsidRDefault="00936037" w:rsidP="00E72AFD">
      <w:pPr>
        <w:jc w:val="both"/>
        <w:rPr>
          <w:sz w:val="28"/>
          <w:szCs w:val="28"/>
        </w:rPr>
      </w:pPr>
    </w:p>
    <w:p w:rsidR="000D19CD" w:rsidRDefault="004314FA" w:rsidP="00E72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увеличения доходной части бюджета предпринимаются меры по расширению налогооблагаемой базы, повышение эффективности налогового администрирования Приоритетным направлением, является эффективное использование муниципальной </w:t>
      </w:r>
      <w:r w:rsidRPr="007612A9">
        <w:rPr>
          <w:sz w:val="28"/>
          <w:szCs w:val="28"/>
        </w:rPr>
        <w:t>собственности.</w:t>
      </w:r>
      <w:r w:rsidR="007612A9">
        <w:rPr>
          <w:sz w:val="28"/>
          <w:szCs w:val="28"/>
        </w:rPr>
        <w:t xml:space="preserve"> </w:t>
      </w:r>
      <w:r w:rsidR="000D19CD">
        <w:rPr>
          <w:sz w:val="28"/>
          <w:szCs w:val="28"/>
        </w:rPr>
        <w:t>Несмотря на сложившуюся  ситуацию в районе данные прогноза говорят о небольшом, но стабильном росте основных социально-экономических показателей.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5"/>
        <w:gridCol w:w="4654"/>
      </w:tblGrid>
      <w:tr w:rsidR="000D19CD" w:rsidRPr="00583EC8" w:rsidTr="008E047C">
        <w:trPr>
          <w:tblCellSpacing w:w="15" w:type="dxa"/>
        </w:trPr>
        <w:tc>
          <w:tcPr>
            <w:tcW w:w="9789" w:type="dxa"/>
            <w:gridSpan w:val="2"/>
            <w:tcMar>
              <w:top w:w="150" w:type="dxa"/>
              <w:left w:w="150" w:type="dxa"/>
              <w:bottom w:w="150" w:type="dxa"/>
              <w:right w:w="0" w:type="dxa"/>
            </w:tcMar>
          </w:tcPr>
          <w:p w:rsidR="000D19CD" w:rsidRDefault="000D19CD" w:rsidP="008E047C">
            <w:pPr>
              <w:pStyle w:val="a7"/>
              <w:keepNext/>
              <w:jc w:val="both"/>
            </w:pPr>
            <w:r>
              <w:t>Таблица</w:t>
            </w:r>
            <w:r w:rsidR="004E16EB">
              <w:t>№</w:t>
            </w:r>
            <w:r w:rsidR="008F6FB9">
              <w:t>4</w:t>
            </w:r>
            <w:r>
              <w:t xml:space="preserve"> </w:t>
            </w:r>
            <w:r w:rsidRPr="004E16EB">
              <w:rPr>
                <w:sz w:val="24"/>
                <w:szCs w:val="24"/>
              </w:rPr>
              <w:t>Анализ планирования бюджетных средств на основании данных социально-экономического пр</w:t>
            </w:r>
            <w:r w:rsidR="004E16EB">
              <w:rPr>
                <w:sz w:val="24"/>
                <w:szCs w:val="24"/>
              </w:rPr>
              <w:t>о</w:t>
            </w:r>
            <w:r w:rsidRPr="004E16EB">
              <w:rPr>
                <w:sz w:val="24"/>
                <w:szCs w:val="24"/>
              </w:rPr>
              <w:t>гноза</w:t>
            </w:r>
          </w:p>
          <w:p w:rsidR="000D19CD" w:rsidRPr="00583EC8" w:rsidRDefault="000D19CD" w:rsidP="008E047C">
            <w:pPr>
              <w:spacing w:line="450" w:lineRule="atLeast"/>
              <w:jc w:val="both"/>
              <w:outlineLvl w:val="0"/>
              <w:rPr>
                <w:rFonts w:ascii="Verdana" w:hAnsi="Verdana" w:cs="Tahoma"/>
                <w:color w:val="000000"/>
                <w:kern w:val="36"/>
                <w:sz w:val="27"/>
                <w:szCs w:val="27"/>
              </w:rPr>
            </w:pPr>
            <w:r>
              <w:rPr>
                <w:rFonts w:ascii="Verdana" w:hAnsi="Verdana" w:cs="Tahoma"/>
                <w:noProof/>
                <w:color w:val="000000"/>
                <w:kern w:val="36"/>
                <w:sz w:val="27"/>
                <w:szCs w:val="27"/>
              </w:rPr>
              <w:drawing>
                <wp:inline distT="0" distB="0" distL="0" distR="0" wp14:anchorId="50A12036" wp14:editId="505D9773">
                  <wp:extent cx="5486400" cy="3648075"/>
                  <wp:effectExtent l="0" t="0" r="0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0D19CD" w:rsidRPr="00583EC8" w:rsidTr="008E047C">
        <w:trPr>
          <w:tblCellSpacing w:w="15" w:type="dxa"/>
        </w:trPr>
        <w:tc>
          <w:tcPr>
            <w:tcW w:w="9789" w:type="dxa"/>
            <w:gridSpan w:val="2"/>
            <w:tcMar>
              <w:top w:w="150" w:type="dxa"/>
              <w:left w:w="150" w:type="dxa"/>
              <w:bottom w:w="150" w:type="dxa"/>
              <w:right w:w="0" w:type="dxa"/>
            </w:tcMar>
          </w:tcPr>
          <w:p w:rsidR="000D19CD" w:rsidRPr="00583EC8" w:rsidRDefault="000D19CD" w:rsidP="008E047C">
            <w:pPr>
              <w:spacing w:after="100" w:afterAutospacing="1"/>
              <w:jc w:val="both"/>
              <w:rPr>
                <w:rFonts w:ascii="Arial" w:hAnsi="Arial" w:cs="Arial"/>
                <w:color w:val="111111"/>
                <w:sz w:val="18"/>
                <w:szCs w:val="18"/>
              </w:rPr>
            </w:pPr>
          </w:p>
        </w:tc>
      </w:tr>
      <w:tr w:rsidR="000D19CD" w:rsidRPr="00583EC8" w:rsidTr="008E047C">
        <w:trPr>
          <w:tblCellSpacing w:w="15" w:type="dxa"/>
        </w:trPr>
        <w:tc>
          <w:tcPr>
            <w:tcW w:w="5150" w:type="dxa"/>
            <w:tcMar>
              <w:top w:w="150" w:type="dxa"/>
              <w:left w:w="150" w:type="dxa"/>
              <w:bottom w:w="150" w:type="dxa"/>
              <w:right w:w="0" w:type="dxa"/>
            </w:tcMar>
          </w:tcPr>
          <w:p w:rsidR="000D19CD" w:rsidRPr="00583EC8" w:rsidRDefault="000D19CD" w:rsidP="008E04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9" w:type="dxa"/>
            <w:tcMar>
              <w:top w:w="150" w:type="dxa"/>
              <w:left w:w="150" w:type="dxa"/>
              <w:bottom w:w="150" w:type="dxa"/>
              <w:right w:w="0" w:type="dxa"/>
            </w:tcMar>
          </w:tcPr>
          <w:p w:rsidR="000D19CD" w:rsidRPr="00583EC8" w:rsidRDefault="000D19CD" w:rsidP="008E04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19CD" w:rsidRPr="00583EC8" w:rsidTr="008E047C">
        <w:trPr>
          <w:tblCellSpacing w:w="15" w:type="dxa"/>
        </w:trPr>
        <w:tc>
          <w:tcPr>
            <w:tcW w:w="9789" w:type="dxa"/>
            <w:gridSpan w:val="2"/>
            <w:tcMar>
              <w:top w:w="150" w:type="dxa"/>
              <w:left w:w="150" w:type="dxa"/>
              <w:bottom w:w="150" w:type="dxa"/>
              <w:right w:w="0" w:type="dxa"/>
            </w:tcMar>
          </w:tcPr>
          <w:p w:rsidR="000D19CD" w:rsidRPr="00583EC8" w:rsidRDefault="000D19CD" w:rsidP="008E047C">
            <w:pPr>
              <w:ind w:left="135" w:right="9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</w:tbl>
    <w:p w:rsidR="00F6257D" w:rsidRDefault="008F6FB9" w:rsidP="00E72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Из таблицы№4</w:t>
      </w:r>
      <w:r w:rsidR="000D19CD">
        <w:rPr>
          <w:sz w:val="28"/>
          <w:szCs w:val="28"/>
        </w:rPr>
        <w:t xml:space="preserve"> видно, что </w:t>
      </w:r>
      <w:r w:rsidR="00006276">
        <w:rPr>
          <w:sz w:val="28"/>
          <w:szCs w:val="28"/>
        </w:rPr>
        <w:t xml:space="preserve">по доходам от </w:t>
      </w:r>
      <w:r w:rsidR="00A32D68">
        <w:rPr>
          <w:sz w:val="28"/>
          <w:szCs w:val="28"/>
        </w:rPr>
        <w:t>налогов на доходы и на</w:t>
      </w:r>
      <w:r>
        <w:rPr>
          <w:sz w:val="28"/>
          <w:szCs w:val="28"/>
        </w:rPr>
        <w:t xml:space="preserve"> товары  планируется поступления </w:t>
      </w:r>
      <w:r w:rsidR="00A32D68">
        <w:rPr>
          <w:sz w:val="28"/>
          <w:szCs w:val="28"/>
        </w:rPr>
        <w:t xml:space="preserve"> с превышением аналогичных показателей социально-экономического прогноза. А вот поступления от налогов на совокупный доход и неналоговых доходов с некоторым</w:t>
      </w:r>
      <w:r w:rsidR="002D7141">
        <w:rPr>
          <w:sz w:val="28"/>
          <w:szCs w:val="28"/>
        </w:rPr>
        <w:t xml:space="preserve"> снижением относительно показателей социально-экономического прогноза.</w:t>
      </w:r>
      <w:r w:rsidR="00A32D68">
        <w:rPr>
          <w:sz w:val="28"/>
          <w:szCs w:val="28"/>
        </w:rPr>
        <w:t xml:space="preserve">  </w:t>
      </w:r>
      <w:r w:rsidR="002D7141">
        <w:rPr>
          <w:sz w:val="28"/>
          <w:szCs w:val="28"/>
        </w:rPr>
        <w:t>П</w:t>
      </w:r>
      <w:r w:rsidR="000D19CD">
        <w:rPr>
          <w:sz w:val="28"/>
          <w:szCs w:val="28"/>
        </w:rPr>
        <w:t xml:space="preserve">ланирование поступления бюджетных доходов </w:t>
      </w:r>
      <w:r w:rsidR="002D7141">
        <w:rPr>
          <w:sz w:val="28"/>
          <w:szCs w:val="28"/>
        </w:rPr>
        <w:t xml:space="preserve">осуществлялось с учетом </w:t>
      </w:r>
      <w:r w:rsidR="000D19CD">
        <w:rPr>
          <w:sz w:val="28"/>
          <w:szCs w:val="28"/>
        </w:rPr>
        <w:t xml:space="preserve"> данных социально-экономического прогноза. </w:t>
      </w:r>
      <w:r w:rsidR="000D19CD" w:rsidRPr="00B06EE5">
        <w:rPr>
          <w:sz w:val="28"/>
          <w:szCs w:val="28"/>
        </w:rPr>
        <w:t>В пояснительной записке к прогнозу социально-экономического развития приводится обоснование параметров прогноза.</w:t>
      </w:r>
      <w:r w:rsidR="000D19CD">
        <w:rPr>
          <w:sz w:val="28"/>
          <w:szCs w:val="28"/>
        </w:rPr>
        <w:t xml:space="preserve">  </w:t>
      </w:r>
    </w:p>
    <w:p w:rsidR="000D19CD" w:rsidRDefault="000D19CD" w:rsidP="00E72AFD">
      <w:pPr>
        <w:jc w:val="both"/>
        <w:rPr>
          <w:sz w:val="28"/>
          <w:szCs w:val="28"/>
        </w:rPr>
      </w:pPr>
    </w:p>
    <w:p w:rsidR="000649E7" w:rsidRPr="00CC2A7D" w:rsidRDefault="00F6257D" w:rsidP="00CC2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53DE">
        <w:rPr>
          <w:sz w:val="28"/>
          <w:szCs w:val="28"/>
        </w:rPr>
        <w:tab/>
      </w:r>
      <w:r w:rsidR="00B15E30" w:rsidRPr="00CC2A7D">
        <w:rPr>
          <w:sz w:val="28"/>
          <w:szCs w:val="28"/>
        </w:rPr>
        <w:t xml:space="preserve">При подготовке </w:t>
      </w:r>
      <w:r w:rsidR="00896AFE">
        <w:rPr>
          <w:sz w:val="28"/>
          <w:szCs w:val="28"/>
        </w:rPr>
        <w:t>о</w:t>
      </w:r>
      <w:r w:rsidR="00B15E30" w:rsidRPr="00CC2A7D">
        <w:rPr>
          <w:sz w:val="28"/>
          <w:szCs w:val="28"/>
        </w:rPr>
        <w:t xml:space="preserve">сновных направлений бюджетной политики были учтены положения Бюджетного </w:t>
      </w:r>
      <w:hyperlink r:id="rId9" w:history="1">
        <w:r w:rsidR="00B15E30" w:rsidRPr="00CC2A7D">
          <w:rPr>
            <w:sz w:val="28"/>
            <w:szCs w:val="28"/>
          </w:rPr>
          <w:t>послания</w:t>
        </w:r>
      </w:hyperlink>
      <w:r w:rsidR="00B15E30" w:rsidRPr="00CC2A7D">
        <w:rPr>
          <w:sz w:val="28"/>
          <w:szCs w:val="28"/>
        </w:rPr>
        <w:t xml:space="preserve"> Президента Российской Федерации, указов Президента Российской Федерации, </w:t>
      </w:r>
      <w:r w:rsidR="00742E4E" w:rsidRPr="00CC2A7D">
        <w:rPr>
          <w:sz w:val="28"/>
          <w:szCs w:val="28"/>
        </w:rPr>
        <w:t xml:space="preserve"> программы </w:t>
      </w:r>
      <w:r w:rsidR="00B15E30" w:rsidRPr="00CC2A7D">
        <w:rPr>
          <w:sz w:val="28"/>
          <w:szCs w:val="28"/>
        </w:rPr>
        <w:t xml:space="preserve">повышения эффективности управления </w:t>
      </w:r>
      <w:r w:rsidR="00742E4E" w:rsidRPr="00CC2A7D">
        <w:rPr>
          <w:sz w:val="28"/>
          <w:szCs w:val="28"/>
        </w:rPr>
        <w:t>муниципальными</w:t>
      </w:r>
      <w:r w:rsidR="00B15E30" w:rsidRPr="00CC2A7D">
        <w:rPr>
          <w:sz w:val="28"/>
          <w:szCs w:val="28"/>
        </w:rPr>
        <w:t xml:space="preserve"> фи</w:t>
      </w:r>
      <w:r w:rsidR="00742E4E" w:rsidRPr="00CC2A7D">
        <w:rPr>
          <w:sz w:val="28"/>
          <w:szCs w:val="28"/>
        </w:rPr>
        <w:t xml:space="preserve">нансами </w:t>
      </w:r>
      <w:r w:rsidR="00B15E30" w:rsidRPr="00CC2A7D">
        <w:rPr>
          <w:sz w:val="28"/>
          <w:szCs w:val="28"/>
        </w:rPr>
        <w:t xml:space="preserve">и иных документов  стратегического планирования. </w:t>
      </w:r>
      <w:r w:rsidR="00514706" w:rsidRPr="00CC2A7D">
        <w:rPr>
          <w:sz w:val="28"/>
          <w:szCs w:val="28"/>
        </w:rPr>
        <w:t>Бюджетная и налоговая политика на 201</w:t>
      </w:r>
      <w:r w:rsidR="00CC2A7D">
        <w:rPr>
          <w:sz w:val="28"/>
          <w:szCs w:val="28"/>
        </w:rPr>
        <w:t>7</w:t>
      </w:r>
      <w:r w:rsidR="00514706" w:rsidRPr="00CC2A7D">
        <w:rPr>
          <w:sz w:val="28"/>
          <w:szCs w:val="28"/>
        </w:rPr>
        <w:t xml:space="preserve"> год</w:t>
      </w:r>
      <w:r w:rsidR="00A14A07">
        <w:rPr>
          <w:sz w:val="28"/>
          <w:szCs w:val="28"/>
        </w:rPr>
        <w:t xml:space="preserve"> и плановый период 2018-2019гг. </w:t>
      </w:r>
      <w:r w:rsidR="00514706" w:rsidRPr="00CC2A7D">
        <w:rPr>
          <w:sz w:val="28"/>
          <w:szCs w:val="28"/>
        </w:rPr>
        <w:t xml:space="preserve"> согласно концепции социально-экономического развития ориентирована на сохранение и дальнейшее развитие доходной базы бюджета района</w:t>
      </w:r>
      <w:r w:rsidR="00155251" w:rsidRPr="00CC2A7D">
        <w:rPr>
          <w:sz w:val="28"/>
          <w:szCs w:val="28"/>
        </w:rPr>
        <w:t>. Также в бюджетной и налоговой политике планируется ряд мер по обеспечению сбалансированности и устойчивости бюджетной системы Репьевского муниципального района.</w:t>
      </w:r>
      <w:r w:rsidR="000649E7" w:rsidRPr="00CC2A7D">
        <w:rPr>
          <w:sz w:val="28"/>
          <w:szCs w:val="28"/>
        </w:rPr>
        <w:t xml:space="preserve"> Определены</w:t>
      </w:r>
      <w:r w:rsidR="00A56758" w:rsidRPr="00CC2A7D">
        <w:rPr>
          <w:sz w:val="28"/>
          <w:szCs w:val="28"/>
        </w:rPr>
        <w:t xml:space="preserve"> цели и задачи бюджетной политики</w:t>
      </w:r>
      <w:r w:rsidR="000649E7" w:rsidRPr="00CC2A7D">
        <w:rPr>
          <w:sz w:val="28"/>
          <w:szCs w:val="28"/>
        </w:rPr>
        <w:t>:</w:t>
      </w:r>
    </w:p>
    <w:p w:rsidR="000649E7" w:rsidRDefault="000649E7" w:rsidP="00064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6758">
        <w:rPr>
          <w:sz w:val="28"/>
          <w:szCs w:val="28"/>
        </w:rPr>
        <w:t>совершенствование нормативно-правового регулирования бюджетного процесса</w:t>
      </w:r>
      <w:r>
        <w:rPr>
          <w:sz w:val="28"/>
          <w:szCs w:val="28"/>
        </w:rPr>
        <w:t>;</w:t>
      </w:r>
    </w:p>
    <w:p w:rsidR="000649E7" w:rsidRDefault="000649E7" w:rsidP="00064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6758">
        <w:rPr>
          <w:sz w:val="28"/>
          <w:szCs w:val="28"/>
        </w:rPr>
        <w:t>обеспечение долгосрочной сбалансированности бюджетной системы района</w:t>
      </w:r>
      <w:r>
        <w:rPr>
          <w:sz w:val="28"/>
          <w:szCs w:val="28"/>
        </w:rPr>
        <w:t>;</w:t>
      </w:r>
    </w:p>
    <w:p w:rsidR="000649E7" w:rsidRDefault="000649E7" w:rsidP="00064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6758">
        <w:rPr>
          <w:sz w:val="28"/>
          <w:szCs w:val="28"/>
        </w:rPr>
        <w:t>повышение качества муниципальных программ.</w:t>
      </w:r>
    </w:p>
    <w:p w:rsidR="00A56758" w:rsidRDefault="00A56758" w:rsidP="00064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определена налоговая политика:</w:t>
      </w:r>
    </w:p>
    <w:p w:rsidR="00A56758" w:rsidRDefault="00A56758" w:rsidP="00064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налогового потенциала за счет привлечения инвестиций;</w:t>
      </w:r>
    </w:p>
    <w:p w:rsidR="00A56758" w:rsidRDefault="00A56758" w:rsidP="00064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роста собираемости налогов;</w:t>
      </w:r>
    </w:p>
    <w:p w:rsidR="00A56758" w:rsidRDefault="00A56758" w:rsidP="00064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продолжение работы по инвентаризации и кадастровой оценке земельных участков</w:t>
      </w:r>
      <w:r w:rsidR="00B15E30">
        <w:rPr>
          <w:sz w:val="28"/>
          <w:szCs w:val="28"/>
        </w:rPr>
        <w:t>;</w:t>
      </w:r>
    </w:p>
    <w:p w:rsidR="00B15E30" w:rsidRDefault="00B15E30" w:rsidP="00064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налогообложения субъектов малого предпринимательства;</w:t>
      </w:r>
    </w:p>
    <w:p w:rsidR="00923503" w:rsidRDefault="00923503" w:rsidP="00064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жесткая и обоснованная политика налоговых льгот;</w:t>
      </w:r>
    </w:p>
    <w:p w:rsidR="00923503" w:rsidRDefault="00923503" w:rsidP="00064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2FA1">
        <w:rPr>
          <w:sz w:val="28"/>
          <w:szCs w:val="28"/>
        </w:rPr>
        <w:t>мероприятия,</w:t>
      </w:r>
      <w:r>
        <w:rPr>
          <w:sz w:val="28"/>
          <w:szCs w:val="28"/>
        </w:rPr>
        <w:t xml:space="preserve"> направленные на предотвращение выплаты «теневой» заработной платы;</w:t>
      </w:r>
    </w:p>
    <w:p w:rsidR="00923503" w:rsidRDefault="00923503" w:rsidP="00064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разъяснительной работы;</w:t>
      </w:r>
    </w:p>
    <w:p w:rsidR="00B15E30" w:rsidRDefault="00923503" w:rsidP="00923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налогового администрирования доходов бюджета.</w:t>
      </w:r>
    </w:p>
    <w:p w:rsidR="00A56758" w:rsidRDefault="00A56758" w:rsidP="00064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Вышеперечисленные мероприятия бюджетной и налоговой политики способствуют повышению качества жизни населения, а также темпам роста экономики.</w:t>
      </w:r>
    </w:p>
    <w:p w:rsidR="00A56758" w:rsidRDefault="00A56758" w:rsidP="000649E7">
      <w:pPr>
        <w:ind w:firstLine="708"/>
        <w:jc w:val="both"/>
        <w:rPr>
          <w:sz w:val="28"/>
          <w:szCs w:val="28"/>
        </w:rPr>
      </w:pPr>
    </w:p>
    <w:p w:rsidR="00185852" w:rsidRDefault="00185852" w:rsidP="00D379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Постановлением администрации Репьевского муниципального района №</w:t>
      </w:r>
      <w:r w:rsidR="008F6FB9">
        <w:rPr>
          <w:sz w:val="28"/>
          <w:szCs w:val="28"/>
        </w:rPr>
        <w:t>227</w:t>
      </w:r>
      <w:r>
        <w:rPr>
          <w:sz w:val="28"/>
          <w:szCs w:val="28"/>
        </w:rPr>
        <w:t xml:space="preserve"> от </w:t>
      </w:r>
      <w:r w:rsidR="008F6FB9">
        <w:rPr>
          <w:sz w:val="28"/>
          <w:szCs w:val="28"/>
        </w:rPr>
        <w:t>08</w:t>
      </w:r>
      <w:r>
        <w:rPr>
          <w:sz w:val="28"/>
          <w:szCs w:val="28"/>
        </w:rPr>
        <w:t>.11.201</w:t>
      </w:r>
      <w:r w:rsidR="008F6FB9">
        <w:rPr>
          <w:sz w:val="28"/>
          <w:szCs w:val="28"/>
        </w:rPr>
        <w:t>6</w:t>
      </w:r>
      <w:r>
        <w:rPr>
          <w:sz w:val="28"/>
          <w:szCs w:val="28"/>
        </w:rPr>
        <w:t>г. утверждены основные характеристики бюджета:</w:t>
      </w:r>
    </w:p>
    <w:p w:rsidR="00A14A07" w:rsidRDefault="00A14A07" w:rsidP="00D37951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2017 год</w:t>
      </w:r>
    </w:p>
    <w:p w:rsidR="00185852" w:rsidRDefault="00185852" w:rsidP="00D3795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прогнозируемый общий объем доходов</w:t>
      </w:r>
      <w:r w:rsidR="00A14A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сумме  </w:t>
      </w:r>
      <w:r w:rsidR="00A14A07">
        <w:rPr>
          <w:sz w:val="28"/>
          <w:szCs w:val="28"/>
        </w:rPr>
        <w:t>280302,3</w:t>
      </w:r>
      <w:r>
        <w:rPr>
          <w:sz w:val="28"/>
          <w:szCs w:val="28"/>
        </w:rPr>
        <w:t>тыс. рублей;</w:t>
      </w:r>
    </w:p>
    <w:p w:rsidR="00A14A07" w:rsidRDefault="00185852" w:rsidP="00D3795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прогнозируемый общий объем расходов</w:t>
      </w:r>
      <w:r w:rsidR="002F73E6">
        <w:rPr>
          <w:sz w:val="28"/>
          <w:szCs w:val="28"/>
        </w:rPr>
        <w:t xml:space="preserve"> в сумме </w:t>
      </w:r>
      <w:r w:rsidR="00A14A07">
        <w:rPr>
          <w:sz w:val="28"/>
          <w:szCs w:val="28"/>
        </w:rPr>
        <w:t>248540,2</w:t>
      </w:r>
      <w:r w:rsidR="002F73E6">
        <w:rPr>
          <w:sz w:val="28"/>
          <w:szCs w:val="28"/>
        </w:rPr>
        <w:t>тыс. рублей</w:t>
      </w:r>
      <w:r w:rsidR="00A14A07">
        <w:rPr>
          <w:sz w:val="28"/>
          <w:szCs w:val="28"/>
        </w:rPr>
        <w:t>;</w:t>
      </w:r>
    </w:p>
    <w:p w:rsidR="00155251" w:rsidRDefault="00A14A07" w:rsidP="00D37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прогнозируемый</w:t>
      </w:r>
      <w:proofErr w:type="gramEnd"/>
      <w:r>
        <w:rPr>
          <w:sz w:val="28"/>
          <w:szCs w:val="28"/>
        </w:rPr>
        <w:t xml:space="preserve"> профицит</w:t>
      </w:r>
      <w:r w:rsidR="002F73E6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31762,1</w:t>
      </w:r>
      <w:r w:rsidR="00923503">
        <w:rPr>
          <w:sz w:val="28"/>
          <w:szCs w:val="28"/>
        </w:rPr>
        <w:t>тыс. рублей</w:t>
      </w:r>
      <w:r w:rsidR="008B65BA">
        <w:rPr>
          <w:sz w:val="28"/>
          <w:szCs w:val="28"/>
        </w:rPr>
        <w:t>.</w:t>
      </w:r>
    </w:p>
    <w:p w:rsidR="00A14A07" w:rsidRDefault="00A14A07" w:rsidP="00D379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2018 год</w:t>
      </w:r>
    </w:p>
    <w:p w:rsidR="00A14A07" w:rsidRDefault="00A14A07" w:rsidP="00A14A0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прогнозируемый общий объем доходов  в сумме  178733,4тыс. рублей;</w:t>
      </w:r>
    </w:p>
    <w:p w:rsidR="00A14A07" w:rsidRDefault="00A14A07" w:rsidP="00A14A0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прогнозируемый общий объем расходов в сумме 176551,4тыс. рублей;</w:t>
      </w:r>
    </w:p>
    <w:p w:rsidR="00A14A07" w:rsidRDefault="00A14A07" w:rsidP="00A14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прогнозируемый</w:t>
      </w:r>
      <w:proofErr w:type="gramEnd"/>
      <w:r>
        <w:rPr>
          <w:sz w:val="28"/>
          <w:szCs w:val="28"/>
        </w:rPr>
        <w:t xml:space="preserve"> профицит составил 2182тыс. рублей.</w:t>
      </w:r>
    </w:p>
    <w:p w:rsidR="00A14A07" w:rsidRDefault="00A14A07" w:rsidP="00A14A07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2019 год</w:t>
      </w:r>
    </w:p>
    <w:p w:rsidR="00A14A07" w:rsidRDefault="00A14A07" w:rsidP="00A14A0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прогнозируемый общий объем доходов  в сумме  186143,4тыс. рублей;</w:t>
      </w:r>
    </w:p>
    <w:p w:rsidR="00A14A07" w:rsidRDefault="00A14A07" w:rsidP="00A14A0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прогнозируемый общий объем расходов в сумме 186143,4тыс. рублей;</w:t>
      </w:r>
    </w:p>
    <w:p w:rsidR="00A14A07" w:rsidRDefault="00A14A07" w:rsidP="00A14A07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планируется полн</w:t>
      </w:r>
      <w:r w:rsidR="00127E72">
        <w:rPr>
          <w:sz w:val="28"/>
          <w:szCs w:val="28"/>
        </w:rPr>
        <w:t>ая</w:t>
      </w:r>
      <w:r>
        <w:rPr>
          <w:sz w:val="28"/>
          <w:szCs w:val="28"/>
        </w:rPr>
        <w:t xml:space="preserve"> сбалансирован</w:t>
      </w:r>
      <w:r w:rsidR="00127E72">
        <w:rPr>
          <w:sz w:val="28"/>
          <w:szCs w:val="28"/>
        </w:rPr>
        <w:t>ность бюджета</w:t>
      </w:r>
      <w:r>
        <w:rPr>
          <w:sz w:val="28"/>
          <w:szCs w:val="28"/>
        </w:rPr>
        <w:t>.</w:t>
      </w:r>
    </w:p>
    <w:p w:rsidR="008B65BA" w:rsidRDefault="008B65BA" w:rsidP="00D37951">
      <w:pPr>
        <w:jc w:val="both"/>
        <w:rPr>
          <w:sz w:val="28"/>
          <w:szCs w:val="28"/>
        </w:rPr>
      </w:pPr>
    </w:p>
    <w:p w:rsidR="00494F3D" w:rsidRDefault="002F73E6" w:rsidP="00155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приложении №1 к проекту бюджета утверждены источники внутреннего финансирования дефицита бюджета</w:t>
      </w:r>
      <w:r w:rsidR="00127E72">
        <w:rPr>
          <w:sz w:val="28"/>
          <w:szCs w:val="28"/>
        </w:rPr>
        <w:t>, которые предусматривают бюджетные кредиты, а также изменение остатков средств на счетах по учету средств бюджета</w:t>
      </w:r>
      <w:r>
        <w:rPr>
          <w:sz w:val="28"/>
          <w:szCs w:val="28"/>
        </w:rPr>
        <w:t>.</w:t>
      </w:r>
      <w:r w:rsidR="00155251">
        <w:rPr>
          <w:sz w:val="28"/>
          <w:szCs w:val="28"/>
        </w:rPr>
        <w:t xml:space="preserve"> </w:t>
      </w:r>
      <w:r w:rsidR="00923503">
        <w:rPr>
          <w:sz w:val="28"/>
          <w:szCs w:val="28"/>
        </w:rPr>
        <w:t>Следует отметить, что в 201</w:t>
      </w:r>
      <w:r w:rsidR="00127E72">
        <w:rPr>
          <w:sz w:val="28"/>
          <w:szCs w:val="28"/>
        </w:rPr>
        <w:t>7</w:t>
      </w:r>
      <w:r w:rsidR="00923503">
        <w:rPr>
          <w:sz w:val="28"/>
          <w:szCs w:val="28"/>
        </w:rPr>
        <w:t xml:space="preserve"> </w:t>
      </w:r>
      <w:r w:rsidR="00127E72">
        <w:rPr>
          <w:sz w:val="28"/>
          <w:szCs w:val="28"/>
        </w:rPr>
        <w:t xml:space="preserve">и 2018 </w:t>
      </w:r>
      <w:r w:rsidR="00923503">
        <w:rPr>
          <w:sz w:val="28"/>
          <w:szCs w:val="28"/>
        </w:rPr>
        <w:t>год</w:t>
      </w:r>
      <w:r w:rsidR="00127E72">
        <w:rPr>
          <w:sz w:val="28"/>
          <w:szCs w:val="28"/>
        </w:rPr>
        <w:t>ах</w:t>
      </w:r>
      <w:r w:rsidR="00923503">
        <w:rPr>
          <w:sz w:val="28"/>
          <w:szCs w:val="28"/>
        </w:rPr>
        <w:t xml:space="preserve"> планируется только погашение кредитов от других бюджетов бюджетной системы.</w:t>
      </w:r>
      <w:r w:rsidR="00127E72">
        <w:rPr>
          <w:sz w:val="28"/>
          <w:szCs w:val="28"/>
        </w:rPr>
        <w:t xml:space="preserve"> В 2019 году согласно приложению №1 планируется полностью сбалансированный бюджет и отсутствие бюджетных кредитов.</w:t>
      </w:r>
      <w:r w:rsidR="00923503">
        <w:rPr>
          <w:sz w:val="28"/>
          <w:szCs w:val="28"/>
        </w:rPr>
        <w:t xml:space="preserve"> </w:t>
      </w:r>
      <w:r w:rsidR="00155251">
        <w:rPr>
          <w:sz w:val="28"/>
          <w:szCs w:val="28"/>
        </w:rPr>
        <w:t xml:space="preserve"> </w:t>
      </w:r>
      <w:r w:rsidR="00596B07">
        <w:rPr>
          <w:sz w:val="28"/>
          <w:szCs w:val="28"/>
        </w:rPr>
        <w:t>Состав источников финансирования дефицита соответствует ст. 96 БК РФ.</w:t>
      </w:r>
      <w:r w:rsidR="00923503">
        <w:rPr>
          <w:sz w:val="28"/>
          <w:szCs w:val="28"/>
        </w:rPr>
        <w:t xml:space="preserve"> </w:t>
      </w:r>
    </w:p>
    <w:p w:rsidR="00923503" w:rsidRDefault="00923503" w:rsidP="00155251">
      <w:pPr>
        <w:jc w:val="both"/>
        <w:rPr>
          <w:sz w:val="28"/>
          <w:szCs w:val="28"/>
        </w:rPr>
      </w:pPr>
    </w:p>
    <w:p w:rsidR="00D4043B" w:rsidRDefault="00494F3D" w:rsidP="006857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16EB">
        <w:rPr>
          <w:sz w:val="28"/>
          <w:szCs w:val="28"/>
        </w:rPr>
        <w:t>Доходная</w:t>
      </w:r>
      <w:r>
        <w:rPr>
          <w:sz w:val="28"/>
          <w:szCs w:val="28"/>
        </w:rPr>
        <w:t xml:space="preserve"> база бюджета района на 201</w:t>
      </w:r>
      <w:r w:rsidR="00127E72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D4043B">
        <w:rPr>
          <w:sz w:val="28"/>
          <w:szCs w:val="28"/>
        </w:rPr>
        <w:t xml:space="preserve"> и плановый период 2018-2019гг.</w:t>
      </w:r>
      <w:r>
        <w:rPr>
          <w:sz w:val="28"/>
          <w:szCs w:val="28"/>
        </w:rPr>
        <w:t xml:space="preserve"> формировалась в соответствии с действующим бюджетным и налоговым законодательством.</w:t>
      </w:r>
      <w:r w:rsidR="00923503">
        <w:rPr>
          <w:sz w:val="28"/>
          <w:szCs w:val="28"/>
        </w:rPr>
        <w:t xml:space="preserve"> </w:t>
      </w:r>
    </w:p>
    <w:p w:rsidR="00D4043B" w:rsidRDefault="00D4043B" w:rsidP="00D4043B">
      <w:pPr>
        <w:pStyle w:val="a7"/>
        <w:keepNext/>
        <w:jc w:val="both"/>
      </w:pPr>
      <w:r>
        <w:t xml:space="preserve">Таблица </w:t>
      </w:r>
      <w:r w:rsidR="004E16EB">
        <w:t>№</w:t>
      </w:r>
      <w:r w:rsidR="008F6FB9">
        <w:t>5</w:t>
      </w:r>
      <w:r>
        <w:t xml:space="preserve">   </w:t>
      </w:r>
      <w:r w:rsidRPr="004E16EB">
        <w:rPr>
          <w:sz w:val="24"/>
          <w:szCs w:val="24"/>
        </w:rPr>
        <w:t>Анализ доходов</w:t>
      </w:r>
    </w:p>
    <w:p w:rsidR="00D4043B" w:rsidRDefault="00D4043B" w:rsidP="0068571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579FB" w:rsidRDefault="0003124F" w:rsidP="0068571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494F3D">
        <w:rPr>
          <w:sz w:val="28"/>
          <w:szCs w:val="28"/>
        </w:rPr>
        <w:t xml:space="preserve">структуре доходов на долю налоговых и неналоговых доходов приходится </w:t>
      </w:r>
      <w:r w:rsidR="00D4043B">
        <w:rPr>
          <w:sz w:val="28"/>
          <w:szCs w:val="28"/>
        </w:rPr>
        <w:t xml:space="preserve">в 2017 году </w:t>
      </w:r>
      <w:r w:rsidR="00612F80">
        <w:rPr>
          <w:sz w:val="28"/>
          <w:szCs w:val="28"/>
        </w:rPr>
        <w:t>18,1</w:t>
      </w:r>
      <w:r w:rsidR="00494F3D">
        <w:rPr>
          <w:sz w:val="28"/>
          <w:szCs w:val="28"/>
        </w:rPr>
        <w:t>%,</w:t>
      </w:r>
      <w:r w:rsidR="00612F80">
        <w:rPr>
          <w:sz w:val="28"/>
          <w:szCs w:val="28"/>
        </w:rPr>
        <w:t xml:space="preserve"> в 2018 году 29%, в 2019 году 30%</w:t>
      </w:r>
      <w:r w:rsidR="00494F3D">
        <w:rPr>
          <w:sz w:val="28"/>
          <w:szCs w:val="28"/>
        </w:rPr>
        <w:t xml:space="preserve"> удельный вес безвозмездных поступлений из бюджетов других уровней составит </w:t>
      </w:r>
      <w:r w:rsidR="00612F80">
        <w:rPr>
          <w:sz w:val="28"/>
          <w:szCs w:val="28"/>
        </w:rPr>
        <w:t xml:space="preserve">соответственно </w:t>
      </w:r>
      <w:r w:rsidR="00494F3D">
        <w:rPr>
          <w:sz w:val="28"/>
          <w:szCs w:val="28"/>
        </w:rPr>
        <w:t>8</w:t>
      </w:r>
      <w:r w:rsidR="00612F80">
        <w:rPr>
          <w:sz w:val="28"/>
          <w:szCs w:val="28"/>
        </w:rPr>
        <w:t>1,9</w:t>
      </w:r>
      <w:r w:rsidR="00B94328">
        <w:rPr>
          <w:sz w:val="28"/>
          <w:szCs w:val="28"/>
        </w:rPr>
        <w:t>%</w:t>
      </w:r>
      <w:r w:rsidR="00612F80">
        <w:rPr>
          <w:sz w:val="28"/>
          <w:szCs w:val="28"/>
        </w:rPr>
        <w:t>, 71%, 70%</w:t>
      </w:r>
      <w:r w:rsidR="00494F3D">
        <w:rPr>
          <w:sz w:val="28"/>
          <w:szCs w:val="28"/>
        </w:rPr>
        <w:t>.</w:t>
      </w:r>
      <w:r w:rsidR="0068571B">
        <w:rPr>
          <w:sz w:val="28"/>
          <w:szCs w:val="28"/>
        </w:rPr>
        <w:t xml:space="preserve"> Общий объем собственных доходов на 201</w:t>
      </w:r>
      <w:r w:rsidR="00612F80">
        <w:rPr>
          <w:sz w:val="28"/>
          <w:szCs w:val="28"/>
        </w:rPr>
        <w:t>7</w:t>
      </w:r>
      <w:r w:rsidR="0068571B">
        <w:rPr>
          <w:sz w:val="28"/>
          <w:szCs w:val="28"/>
        </w:rPr>
        <w:t xml:space="preserve"> год прогнозируется с ростом к уровню прошлого года 1</w:t>
      </w:r>
      <w:r w:rsidR="00612F80">
        <w:rPr>
          <w:sz w:val="28"/>
          <w:szCs w:val="28"/>
        </w:rPr>
        <w:t>01,1</w:t>
      </w:r>
      <w:r w:rsidR="0068571B">
        <w:rPr>
          <w:sz w:val="28"/>
          <w:szCs w:val="28"/>
        </w:rPr>
        <w:t>%</w:t>
      </w:r>
      <w:r w:rsidR="00494F3D">
        <w:rPr>
          <w:sz w:val="28"/>
          <w:szCs w:val="28"/>
        </w:rPr>
        <w:t>.</w:t>
      </w:r>
      <w:r w:rsidR="008579FB">
        <w:rPr>
          <w:sz w:val="28"/>
          <w:szCs w:val="28"/>
        </w:rPr>
        <w:t xml:space="preserve"> Структура </w:t>
      </w:r>
      <w:r w:rsidR="00F17BEA">
        <w:rPr>
          <w:sz w:val="28"/>
          <w:szCs w:val="28"/>
        </w:rPr>
        <w:t xml:space="preserve">собственных </w:t>
      </w:r>
      <w:r w:rsidR="008579FB">
        <w:rPr>
          <w:sz w:val="28"/>
          <w:szCs w:val="28"/>
        </w:rPr>
        <w:t xml:space="preserve">доходов представлена в </w:t>
      </w:r>
      <w:r w:rsidR="008F6FB9">
        <w:rPr>
          <w:sz w:val="28"/>
          <w:szCs w:val="28"/>
        </w:rPr>
        <w:t>таблице №5</w:t>
      </w:r>
      <w:r w:rsidR="008579FB">
        <w:rPr>
          <w:sz w:val="28"/>
          <w:szCs w:val="28"/>
        </w:rPr>
        <w:t xml:space="preserve">. </w:t>
      </w:r>
      <w:proofErr w:type="gramEnd"/>
    </w:p>
    <w:p w:rsidR="008579FB" w:rsidRDefault="008579FB" w:rsidP="0068571B">
      <w:pPr>
        <w:jc w:val="both"/>
        <w:rPr>
          <w:sz w:val="28"/>
          <w:szCs w:val="28"/>
        </w:rPr>
      </w:pPr>
    </w:p>
    <w:p w:rsidR="008579FB" w:rsidRDefault="008579FB" w:rsidP="008579FB">
      <w:pPr>
        <w:pStyle w:val="a7"/>
        <w:keepNext/>
        <w:jc w:val="both"/>
      </w:pPr>
      <w:r>
        <w:lastRenderedPageBreak/>
        <w:t>Таблица</w:t>
      </w:r>
      <w:r w:rsidR="008E3D56">
        <w:t>№</w:t>
      </w:r>
      <w:r w:rsidR="008F6FB9">
        <w:t xml:space="preserve">6 </w:t>
      </w:r>
      <w:r w:rsidRPr="004E16EB">
        <w:rPr>
          <w:sz w:val="24"/>
          <w:szCs w:val="24"/>
        </w:rPr>
        <w:t>Структура доходов</w:t>
      </w:r>
    </w:p>
    <w:p w:rsidR="008579FB" w:rsidRDefault="008579FB" w:rsidP="0068571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420052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494F3D">
        <w:rPr>
          <w:sz w:val="28"/>
          <w:szCs w:val="28"/>
        </w:rPr>
        <w:t xml:space="preserve"> </w:t>
      </w:r>
    </w:p>
    <w:p w:rsidR="00AC1F22" w:rsidRDefault="008F6FB9" w:rsidP="00AC1F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таблицы №6</w:t>
      </w:r>
      <w:r w:rsidR="00AC1F22">
        <w:rPr>
          <w:sz w:val="28"/>
          <w:szCs w:val="28"/>
        </w:rPr>
        <w:t xml:space="preserve"> «Структура собственных доходов» видно, что планирование доходной части проводилось с устойчивым ростом к отчетному периоду.</w:t>
      </w:r>
    </w:p>
    <w:p w:rsidR="004B3A39" w:rsidRDefault="00494F3D" w:rsidP="0068571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Основную долю собственных доходов составляет</w:t>
      </w:r>
      <w:r w:rsidR="008554BA">
        <w:rPr>
          <w:sz w:val="28"/>
          <w:szCs w:val="28"/>
        </w:rPr>
        <w:t xml:space="preserve">: </w:t>
      </w:r>
    </w:p>
    <w:p w:rsidR="00C04B49" w:rsidRDefault="00C04B49" w:rsidP="00C04B49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1194"/>
        <w:gridCol w:w="1417"/>
        <w:gridCol w:w="1418"/>
        <w:gridCol w:w="1251"/>
        <w:gridCol w:w="1300"/>
      </w:tblGrid>
      <w:tr w:rsidR="00C04B49" w:rsidTr="008E3D56">
        <w:tc>
          <w:tcPr>
            <w:tcW w:w="20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4B49" w:rsidRDefault="00C04B49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B49" w:rsidRDefault="00C04B49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B49" w:rsidRDefault="00C04B49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B49" w:rsidRDefault="00C04B49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  <w:tr w:rsidR="00C04B49" w:rsidTr="008E3D56">
        <w:tc>
          <w:tcPr>
            <w:tcW w:w="20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B49" w:rsidRDefault="00C04B49" w:rsidP="00F804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B49" w:rsidRDefault="00C04B49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B49" w:rsidRDefault="00C04B49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%, от общей суммы собств. доходов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B49" w:rsidRDefault="00C04B49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B49" w:rsidRDefault="00C04B49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от общей суммы собств. доходов</w:t>
            </w:r>
          </w:p>
        </w:tc>
        <w:tc>
          <w:tcPr>
            <w:tcW w:w="12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B49" w:rsidRDefault="00C04B49" w:rsidP="00C0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B49" w:rsidRDefault="00C04B49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от общей суммы собств. доходов</w:t>
            </w:r>
          </w:p>
        </w:tc>
      </w:tr>
      <w:tr w:rsidR="00C04B49" w:rsidTr="008E3D56"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:rsidR="00C04B49" w:rsidRDefault="00C04B49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C04B49" w:rsidRDefault="00C04B49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30483</w:t>
            </w:r>
          </w:p>
        </w:tc>
        <w:tc>
          <w:tcPr>
            <w:tcW w:w="1194" w:type="dxa"/>
            <w:tcBorders>
              <w:top w:val="double" w:sz="4" w:space="0" w:color="auto"/>
            </w:tcBorders>
            <w:vAlign w:val="center"/>
          </w:tcPr>
          <w:p w:rsidR="00C04B49" w:rsidRDefault="00C04B49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C04B49" w:rsidRDefault="008E3D56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32005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C04B49" w:rsidRDefault="008E3D56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61%</w:t>
            </w:r>
          </w:p>
        </w:tc>
        <w:tc>
          <w:tcPr>
            <w:tcW w:w="1251" w:type="dxa"/>
            <w:tcBorders>
              <w:top w:val="double" w:sz="4" w:space="0" w:color="auto"/>
            </w:tcBorders>
            <w:vAlign w:val="center"/>
          </w:tcPr>
          <w:p w:rsidR="00C04B49" w:rsidRDefault="008E3D56" w:rsidP="00C0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33622</w:t>
            </w:r>
          </w:p>
        </w:tc>
        <w:tc>
          <w:tcPr>
            <w:tcW w:w="1300" w:type="dxa"/>
            <w:tcBorders>
              <w:top w:val="double" w:sz="4" w:space="0" w:color="auto"/>
            </w:tcBorders>
            <w:vAlign w:val="center"/>
          </w:tcPr>
          <w:p w:rsidR="00C04B49" w:rsidRDefault="008E3D56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61%</w:t>
            </w:r>
          </w:p>
        </w:tc>
      </w:tr>
      <w:tr w:rsidR="00C04B49" w:rsidTr="008E3D56">
        <w:tc>
          <w:tcPr>
            <w:tcW w:w="2093" w:type="dxa"/>
            <w:vAlign w:val="center"/>
          </w:tcPr>
          <w:p w:rsidR="00C04B49" w:rsidRDefault="00C04B49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товары</w:t>
            </w:r>
          </w:p>
        </w:tc>
        <w:tc>
          <w:tcPr>
            <w:tcW w:w="1134" w:type="dxa"/>
            <w:vAlign w:val="center"/>
          </w:tcPr>
          <w:p w:rsidR="00C04B49" w:rsidRDefault="008E3D56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6829</w:t>
            </w:r>
          </w:p>
        </w:tc>
        <w:tc>
          <w:tcPr>
            <w:tcW w:w="1194" w:type="dxa"/>
            <w:vAlign w:val="center"/>
          </w:tcPr>
          <w:p w:rsidR="00C04B49" w:rsidRDefault="008E3D56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13,4%</w:t>
            </w:r>
          </w:p>
        </w:tc>
        <w:tc>
          <w:tcPr>
            <w:tcW w:w="1417" w:type="dxa"/>
            <w:vAlign w:val="center"/>
          </w:tcPr>
          <w:p w:rsidR="00C04B49" w:rsidRDefault="008E3D56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6646</w:t>
            </w:r>
          </w:p>
        </w:tc>
        <w:tc>
          <w:tcPr>
            <w:tcW w:w="1418" w:type="dxa"/>
            <w:vAlign w:val="center"/>
          </w:tcPr>
          <w:p w:rsidR="00C04B49" w:rsidRDefault="008E3D56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12,6%</w:t>
            </w:r>
          </w:p>
        </w:tc>
        <w:tc>
          <w:tcPr>
            <w:tcW w:w="1251" w:type="dxa"/>
            <w:vAlign w:val="center"/>
          </w:tcPr>
          <w:p w:rsidR="00C04B49" w:rsidRDefault="008E3D56" w:rsidP="00C0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7248</w:t>
            </w:r>
          </w:p>
        </w:tc>
        <w:tc>
          <w:tcPr>
            <w:tcW w:w="1300" w:type="dxa"/>
            <w:vAlign w:val="center"/>
          </w:tcPr>
          <w:p w:rsidR="00C04B49" w:rsidRDefault="008E3D56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13%</w:t>
            </w:r>
          </w:p>
        </w:tc>
      </w:tr>
      <w:tr w:rsidR="00C04B49" w:rsidTr="008E3D56">
        <w:tc>
          <w:tcPr>
            <w:tcW w:w="2093" w:type="dxa"/>
            <w:vAlign w:val="center"/>
          </w:tcPr>
          <w:p w:rsidR="00C04B49" w:rsidRDefault="008E3D56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C04B49" w:rsidRDefault="008E3D56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4304</w:t>
            </w:r>
          </w:p>
        </w:tc>
        <w:tc>
          <w:tcPr>
            <w:tcW w:w="1194" w:type="dxa"/>
            <w:vAlign w:val="center"/>
          </w:tcPr>
          <w:p w:rsidR="00C04B49" w:rsidRDefault="008E3D56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8,4%</w:t>
            </w:r>
          </w:p>
        </w:tc>
        <w:tc>
          <w:tcPr>
            <w:tcW w:w="1417" w:type="dxa"/>
            <w:vAlign w:val="center"/>
          </w:tcPr>
          <w:p w:rsidR="00C04B49" w:rsidRDefault="008E3D56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4420</w:t>
            </w:r>
          </w:p>
        </w:tc>
        <w:tc>
          <w:tcPr>
            <w:tcW w:w="1418" w:type="dxa"/>
            <w:vAlign w:val="center"/>
          </w:tcPr>
          <w:p w:rsidR="00C04B49" w:rsidRDefault="008E3D56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8,4%</w:t>
            </w:r>
          </w:p>
        </w:tc>
        <w:tc>
          <w:tcPr>
            <w:tcW w:w="1251" w:type="dxa"/>
            <w:vAlign w:val="center"/>
          </w:tcPr>
          <w:p w:rsidR="00C04B49" w:rsidRDefault="008E3D56" w:rsidP="00C0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4517</w:t>
            </w:r>
          </w:p>
        </w:tc>
        <w:tc>
          <w:tcPr>
            <w:tcW w:w="1300" w:type="dxa"/>
            <w:vAlign w:val="center"/>
          </w:tcPr>
          <w:p w:rsidR="00C04B49" w:rsidRDefault="008E3D56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</w:tr>
      <w:tr w:rsidR="00C04B49" w:rsidTr="008E3D56">
        <w:tc>
          <w:tcPr>
            <w:tcW w:w="2093" w:type="dxa"/>
            <w:vAlign w:val="center"/>
          </w:tcPr>
          <w:p w:rsidR="00C04B49" w:rsidRDefault="008E3D56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</w:t>
            </w:r>
          </w:p>
        </w:tc>
        <w:tc>
          <w:tcPr>
            <w:tcW w:w="1134" w:type="dxa"/>
            <w:vAlign w:val="center"/>
          </w:tcPr>
          <w:p w:rsidR="00C04B49" w:rsidRDefault="008E3D56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2628</w:t>
            </w:r>
          </w:p>
        </w:tc>
        <w:tc>
          <w:tcPr>
            <w:tcW w:w="1194" w:type="dxa"/>
            <w:vAlign w:val="center"/>
          </w:tcPr>
          <w:p w:rsidR="00C04B49" w:rsidRDefault="008E3D56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5,2%</w:t>
            </w:r>
          </w:p>
        </w:tc>
        <w:tc>
          <w:tcPr>
            <w:tcW w:w="1417" w:type="dxa"/>
            <w:vAlign w:val="center"/>
          </w:tcPr>
          <w:p w:rsidR="00C04B49" w:rsidRDefault="008E3D56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2628</w:t>
            </w:r>
          </w:p>
        </w:tc>
        <w:tc>
          <w:tcPr>
            <w:tcW w:w="1418" w:type="dxa"/>
            <w:vAlign w:val="center"/>
          </w:tcPr>
          <w:p w:rsidR="00C04B49" w:rsidRDefault="008E3D56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  <w:tc>
          <w:tcPr>
            <w:tcW w:w="1251" w:type="dxa"/>
            <w:vAlign w:val="center"/>
          </w:tcPr>
          <w:p w:rsidR="00C04B49" w:rsidRDefault="008E3D56" w:rsidP="00C0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2628</w:t>
            </w:r>
          </w:p>
        </w:tc>
        <w:tc>
          <w:tcPr>
            <w:tcW w:w="1300" w:type="dxa"/>
            <w:vAlign w:val="center"/>
          </w:tcPr>
          <w:p w:rsidR="00C04B49" w:rsidRDefault="008E3D56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</w:tr>
      <w:tr w:rsidR="00C04B49" w:rsidTr="008E3D56">
        <w:tc>
          <w:tcPr>
            <w:tcW w:w="2093" w:type="dxa"/>
            <w:vAlign w:val="center"/>
          </w:tcPr>
          <w:p w:rsidR="00C04B49" w:rsidRDefault="008E3D56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платных услуг</w:t>
            </w:r>
          </w:p>
        </w:tc>
        <w:tc>
          <w:tcPr>
            <w:tcW w:w="1134" w:type="dxa"/>
            <w:vAlign w:val="center"/>
          </w:tcPr>
          <w:p w:rsidR="00C04B49" w:rsidRDefault="008E3D56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2749</w:t>
            </w:r>
          </w:p>
        </w:tc>
        <w:tc>
          <w:tcPr>
            <w:tcW w:w="1194" w:type="dxa"/>
            <w:vAlign w:val="center"/>
          </w:tcPr>
          <w:p w:rsidR="00C04B49" w:rsidRDefault="008E3D56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  <w:tc>
          <w:tcPr>
            <w:tcW w:w="1417" w:type="dxa"/>
            <w:vAlign w:val="center"/>
          </w:tcPr>
          <w:p w:rsidR="00C04B49" w:rsidRDefault="008E3D56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2884</w:t>
            </w:r>
          </w:p>
        </w:tc>
        <w:tc>
          <w:tcPr>
            <w:tcW w:w="1418" w:type="dxa"/>
            <w:vAlign w:val="center"/>
          </w:tcPr>
          <w:p w:rsidR="00C04B49" w:rsidRDefault="008E3D56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5,3%</w:t>
            </w:r>
          </w:p>
        </w:tc>
        <w:tc>
          <w:tcPr>
            <w:tcW w:w="1251" w:type="dxa"/>
            <w:vAlign w:val="center"/>
          </w:tcPr>
          <w:p w:rsidR="00C04B49" w:rsidRDefault="008E3D56" w:rsidP="00C0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3028</w:t>
            </w:r>
          </w:p>
        </w:tc>
        <w:tc>
          <w:tcPr>
            <w:tcW w:w="1300" w:type="dxa"/>
            <w:vAlign w:val="center"/>
          </w:tcPr>
          <w:p w:rsidR="00C04B49" w:rsidRDefault="008E3D56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</w:tr>
      <w:tr w:rsidR="00C04B49" w:rsidTr="008E3D56">
        <w:tc>
          <w:tcPr>
            <w:tcW w:w="2093" w:type="dxa"/>
            <w:vAlign w:val="center"/>
          </w:tcPr>
          <w:p w:rsidR="00C04B49" w:rsidRDefault="008E3D56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134" w:type="dxa"/>
            <w:vAlign w:val="center"/>
          </w:tcPr>
          <w:p w:rsidR="00C04B49" w:rsidRDefault="008E3D56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2146</w:t>
            </w:r>
          </w:p>
        </w:tc>
        <w:tc>
          <w:tcPr>
            <w:tcW w:w="1194" w:type="dxa"/>
            <w:vAlign w:val="center"/>
          </w:tcPr>
          <w:p w:rsidR="00C04B49" w:rsidRDefault="008E3D56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4,2%</w:t>
            </w:r>
          </w:p>
        </w:tc>
        <w:tc>
          <w:tcPr>
            <w:tcW w:w="1417" w:type="dxa"/>
            <w:vAlign w:val="center"/>
          </w:tcPr>
          <w:p w:rsidR="00C04B49" w:rsidRDefault="008E3D56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2245</w:t>
            </w:r>
          </w:p>
        </w:tc>
        <w:tc>
          <w:tcPr>
            <w:tcW w:w="1418" w:type="dxa"/>
            <w:vAlign w:val="center"/>
          </w:tcPr>
          <w:p w:rsidR="00C04B49" w:rsidRDefault="008E3D56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4,2%</w:t>
            </w:r>
          </w:p>
        </w:tc>
        <w:tc>
          <w:tcPr>
            <w:tcW w:w="1251" w:type="dxa"/>
            <w:vAlign w:val="center"/>
          </w:tcPr>
          <w:p w:rsidR="00C04B49" w:rsidRDefault="008E3D56" w:rsidP="00C0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2332</w:t>
            </w:r>
          </w:p>
        </w:tc>
        <w:tc>
          <w:tcPr>
            <w:tcW w:w="1300" w:type="dxa"/>
            <w:vAlign w:val="center"/>
          </w:tcPr>
          <w:p w:rsidR="00C04B49" w:rsidRDefault="008E3D56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</w:tc>
      </w:tr>
    </w:tbl>
    <w:p w:rsidR="000649E7" w:rsidRDefault="000649E7" w:rsidP="00824911">
      <w:pPr>
        <w:ind w:firstLine="708"/>
        <w:jc w:val="both"/>
        <w:rPr>
          <w:sz w:val="28"/>
          <w:szCs w:val="28"/>
        </w:rPr>
      </w:pPr>
    </w:p>
    <w:p w:rsidR="00DE171F" w:rsidRDefault="008554BA" w:rsidP="0082491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Незначительную долю доходов составляют доходы от государственной пошлины </w:t>
      </w:r>
      <w:r w:rsidR="008E3D56">
        <w:rPr>
          <w:sz w:val="28"/>
          <w:szCs w:val="28"/>
        </w:rPr>
        <w:t xml:space="preserve">(2017 год – 468 тыс. рублей(0,8%), 2018 год – 491 тыс. рублей(09%), 2019 год – 515 тыс. рублей(1%)), </w:t>
      </w:r>
      <w:r>
        <w:rPr>
          <w:sz w:val="28"/>
          <w:szCs w:val="28"/>
        </w:rPr>
        <w:t xml:space="preserve"> платежей при пользовании природными ресурсами (</w:t>
      </w:r>
      <w:r w:rsidR="00217EAB">
        <w:rPr>
          <w:sz w:val="28"/>
          <w:szCs w:val="28"/>
        </w:rPr>
        <w:t>2017 год - 191</w:t>
      </w:r>
      <w:r>
        <w:rPr>
          <w:sz w:val="28"/>
          <w:szCs w:val="28"/>
        </w:rPr>
        <w:t xml:space="preserve"> тыс. рублей (0,</w:t>
      </w:r>
      <w:r w:rsidR="00217EAB">
        <w:rPr>
          <w:sz w:val="28"/>
          <w:szCs w:val="28"/>
        </w:rPr>
        <w:t>2</w:t>
      </w:r>
      <w:r w:rsidR="00B94328">
        <w:rPr>
          <w:sz w:val="28"/>
          <w:szCs w:val="28"/>
        </w:rPr>
        <w:t xml:space="preserve"> </w:t>
      </w:r>
      <w:r>
        <w:rPr>
          <w:sz w:val="28"/>
          <w:szCs w:val="28"/>
        </w:rPr>
        <w:t>%)</w:t>
      </w:r>
      <w:r w:rsidR="00217EAB">
        <w:rPr>
          <w:sz w:val="28"/>
          <w:szCs w:val="28"/>
        </w:rPr>
        <w:t>, 2018 год – 200 тыс. рублей(0,4%), 2019 год – 208 тыс. рублей(0,4%)) поступлений от штрафов, санкций (2017 год – 808 тыс. рублей(1,6%), 2018</w:t>
      </w:r>
      <w:proofErr w:type="gramEnd"/>
      <w:r w:rsidR="00217EAB">
        <w:rPr>
          <w:sz w:val="28"/>
          <w:szCs w:val="28"/>
        </w:rPr>
        <w:t xml:space="preserve"> год – 827 тыс. рублей(1,6%), 2019 год – 848 тыс. рублей(1,5%))</w:t>
      </w:r>
      <w:r>
        <w:rPr>
          <w:sz w:val="28"/>
          <w:szCs w:val="28"/>
        </w:rPr>
        <w:t xml:space="preserve">  </w:t>
      </w:r>
      <w:r w:rsidR="00B94328">
        <w:rPr>
          <w:sz w:val="28"/>
          <w:szCs w:val="28"/>
        </w:rPr>
        <w:t>Также в 201</w:t>
      </w:r>
      <w:r w:rsidR="008B6E13">
        <w:rPr>
          <w:sz w:val="28"/>
          <w:szCs w:val="28"/>
        </w:rPr>
        <w:t>6</w:t>
      </w:r>
      <w:r w:rsidR="00B94328">
        <w:rPr>
          <w:sz w:val="28"/>
          <w:szCs w:val="28"/>
        </w:rPr>
        <w:t xml:space="preserve"> году планируется получить доходы от продажи активов в </w:t>
      </w:r>
      <w:r w:rsidR="00217EAB">
        <w:rPr>
          <w:sz w:val="28"/>
          <w:szCs w:val="28"/>
        </w:rPr>
        <w:t xml:space="preserve">2017 году - </w:t>
      </w:r>
      <w:r w:rsidR="008B6E13">
        <w:rPr>
          <w:sz w:val="28"/>
          <w:szCs w:val="28"/>
        </w:rPr>
        <w:t>1</w:t>
      </w:r>
      <w:r w:rsidR="00217EAB">
        <w:rPr>
          <w:sz w:val="28"/>
          <w:szCs w:val="28"/>
        </w:rPr>
        <w:t>1</w:t>
      </w:r>
      <w:r w:rsidR="008B6E13">
        <w:rPr>
          <w:sz w:val="28"/>
          <w:szCs w:val="28"/>
        </w:rPr>
        <w:t>0</w:t>
      </w:r>
      <w:r w:rsidR="00B94328">
        <w:rPr>
          <w:sz w:val="28"/>
          <w:szCs w:val="28"/>
        </w:rPr>
        <w:t xml:space="preserve"> тыс. рублей </w:t>
      </w:r>
      <w:proofErr w:type="gramStart"/>
      <w:r w:rsidR="00B94328">
        <w:rPr>
          <w:sz w:val="28"/>
          <w:szCs w:val="28"/>
        </w:rPr>
        <w:t xml:space="preserve">( </w:t>
      </w:r>
      <w:proofErr w:type="gramEnd"/>
      <w:r w:rsidR="00B94328">
        <w:rPr>
          <w:sz w:val="28"/>
          <w:szCs w:val="28"/>
        </w:rPr>
        <w:t>0,</w:t>
      </w:r>
      <w:r w:rsidR="00217EAB">
        <w:rPr>
          <w:sz w:val="28"/>
          <w:szCs w:val="28"/>
        </w:rPr>
        <w:t>2</w:t>
      </w:r>
      <w:r w:rsidR="00B94328">
        <w:rPr>
          <w:sz w:val="28"/>
          <w:szCs w:val="28"/>
        </w:rPr>
        <w:t>%)</w:t>
      </w:r>
      <w:r w:rsidR="00217EAB">
        <w:rPr>
          <w:sz w:val="28"/>
          <w:szCs w:val="28"/>
        </w:rPr>
        <w:t>, в 2018 году – 125 тыс. рублей(0,2%), в 2019 году – 120 тыс. рублей(0,2%)</w:t>
      </w:r>
      <w:r w:rsidR="00B94328">
        <w:rPr>
          <w:sz w:val="28"/>
          <w:szCs w:val="28"/>
        </w:rPr>
        <w:t>.</w:t>
      </w:r>
      <w:r w:rsidR="00217EAB">
        <w:rPr>
          <w:sz w:val="28"/>
          <w:szCs w:val="28"/>
        </w:rPr>
        <w:t xml:space="preserve"> </w:t>
      </w:r>
    </w:p>
    <w:p w:rsidR="002D7141" w:rsidRDefault="002D7141" w:rsidP="004E16EB">
      <w:pPr>
        <w:pStyle w:val="a7"/>
        <w:keepNext/>
        <w:jc w:val="both"/>
      </w:pPr>
    </w:p>
    <w:p w:rsidR="004E16EB" w:rsidRPr="004E16EB" w:rsidRDefault="004E16EB" w:rsidP="004E16EB">
      <w:pPr>
        <w:pStyle w:val="a7"/>
        <w:keepNext/>
        <w:jc w:val="both"/>
        <w:rPr>
          <w:sz w:val="24"/>
          <w:szCs w:val="24"/>
        </w:rPr>
      </w:pPr>
      <w:r>
        <w:t>Таблица №</w:t>
      </w:r>
      <w:r w:rsidR="008F6FB9">
        <w:t>7</w:t>
      </w:r>
      <w:r>
        <w:t xml:space="preserve">  </w:t>
      </w:r>
      <w:r>
        <w:rPr>
          <w:sz w:val="24"/>
          <w:szCs w:val="24"/>
        </w:rPr>
        <w:t>Сравнительная диаграмма собственных доходов бюджета Репьевского района на 2017 год</w:t>
      </w:r>
    </w:p>
    <w:p w:rsidR="00DE171F" w:rsidRDefault="00DE171F" w:rsidP="00824911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5225598" wp14:editId="313A68BC">
            <wp:extent cx="5486400" cy="6400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E171F" w:rsidRDefault="00590A16" w:rsidP="00824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6FB9">
        <w:rPr>
          <w:sz w:val="28"/>
          <w:szCs w:val="28"/>
        </w:rPr>
        <w:t>Из таблицы №7 видно, что п</w:t>
      </w:r>
      <w:r>
        <w:rPr>
          <w:sz w:val="28"/>
          <w:szCs w:val="28"/>
        </w:rPr>
        <w:t>о сравнению с 2016 годом, наблюдается значительный рост по доходам от налогов на прибыль, доходы в сумме 1031 тыс. рублей. С 01.01.2017 года на основании Закона</w:t>
      </w:r>
      <w:r w:rsidR="00E938E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оронежской области от 01.06.2016. №81-ОЗ </w:t>
      </w:r>
      <w:r w:rsidR="00E938E8">
        <w:rPr>
          <w:sz w:val="28"/>
          <w:szCs w:val="28"/>
        </w:rPr>
        <w:t>полномочия по созданию дорожного фонда переданы на уровень</w:t>
      </w:r>
      <w:r w:rsidR="00DE171F">
        <w:rPr>
          <w:sz w:val="28"/>
          <w:szCs w:val="28"/>
        </w:rPr>
        <w:t xml:space="preserve"> муниципального района, соответственно доходная часть пополнилась </w:t>
      </w:r>
      <w:r w:rsidR="00DE171F">
        <w:rPr>
          <w:sz w:val="28"/>
          <w:szCs w:val="28"/>
        </w:rPr>
        <w:lastRenderedPageBreak/>
        <w:t xml:space="preserve">на 6829 тыс. рублей. По сравнению с 2016 годом наблюдается рост доходов от оказания платных услуг на 193 тыс. рублей и доходов от налогов на совокупный доход на 122 тыс. рублей.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Наряду с увеличением по вышеперечисленным доходам наблюдается значительное снижение доходов от продажи активов на </w:t>
      </w:r>
      <w:r w:rsidR="00DE171F">
        <w:rPr>
          <w:sz w:val="28"/>
          <w:szCs w:val="28"/>
        </w:rPr>
        <w:t xml:space="preserve">10077 тыс. рублей (за счет сокращения продажи земельных участков и муниципального имущества), </w:t>
      </w:r>
      <w:r>
        <w:rPr>
          <w:sz w:val="28"/>
          <w:szCs w:val="28"/>
        </w:rPr>
        <w:t xml:space="preserve">по доходам от </w:t>
      </w:r>
      <w:r w:rsidR="00DE171F">
        <w:rPr>
          <w:sz w:val="28"/>
          <w:szCs w:val="28"/>
        </w:rPr>
        <w:t xml:space="preserve">использования имущества </w:t>
      </w:r>
      <w:r>
        <w:rPr>
          <w:sz w:val="28"/>
          <w:szCs w:val="28"/>
        </w:rPr>
        <w:t xml:space="preserve">на </w:t>
      </w:r>
      <w:r w:rsidR="00DE171F">
        <w:rPr>
          <w:sz w:val="28"/>
          <w:szCs w:val="28"/>
        </w:rPr>
        <w:t>720</w:t>
      </w:r>
      <w:r>
        <w:rPr>
          <w:sz w:val="28"/>
          <w:szCs w:val="28"/>
        </w:rPr>
        <w:t xml:space="preserve"> тыс. рублей</w:t>
      </w:r>
      <w:r w:rsidR="00DE171F">
        <w:rPr>
          <w:sz w:val="28"/>
          <w:szCs w:val="28"/>
        </w:rPr>
        <w:t xml:space="preserve"> (расторгнуты договоры аренды по причине приобретения земельных участков в собственность) и прочим неналоговым доходам на 959 тыс. рублей (за счет изменения типа учреждения Репьевской СОШ</w:t>
      </w:r>
      <w:proofErr w:type="gramEnd"/>
      <w:r w:rsidR="00DE171F">
        <w:rPr>
          <w:sz w:val="28"/>
          <w:szCs w:val="28"/>
        </w:rPr>
        <w:t xml:space="preserve"> с казенного на бюджетное)</w:t>
      </w:r>
      <w:r>
        <w:rPr>
          <w:sz w:val="28"/>
          <w:szCs w:val="28"/>
        </w:rPr>
        <w:t xml:space="preserve">. </w:t>
      </w:r>
    </w:p>
    <w:p w:rsidR="00DE171F" w:rsidRDefault="00DE171F" w:rsidP="00824911">
      <w:pPr>
        <w:ind w:firstLine="708"/>
        <w:jc w:val="both"/>
        <w:rPr>
          <w:sz w:val="28"/>
          <w:szCs w:val="28"/>
        </w:rPr>
      </w:pPr>
    </w:p>
    <w:p w:rsidR="004B3A39" w:rsidRDefault="008A5885" w:rsidP="00824911">
      <w:pPr>
        <w:ind w:firstLine="708"/>
        <w:jc w:val="both"/>
        <w:rPr>
          <w:sz w:val="28"/>
          <w:szCs w:val="28"/>
        </w:rPr>
      </w:pPr>
      <w:r w:rsidRPr="008A5885">
        <w:rPr>
          <w:sz w:val="28"/>
          <w:szCs w:val="28"/>
        </w:rPr>
        <w:t>В 2017</w:t>
      </w:r>
      <w:r w:rsidR="00590A16" w:rsidRPr="008A5885">
        <w:rPr>
          <w:sz w:val="28"/>
          <w:szCs w:val="28"/>
        </w:rPr>
        <w:t xml:space="preserve"> году</w:t>
      </w:r>
      <w:r w:rsidR="00590A16">
        <w:rPr>
          <w:sz w:val="28"/>
          <w:szCs w:val="28"/>
        </w:rPr>
        <w:t xml:space="preserve"> планируются  безвозмездные поступл</w:t>
      </w:r>
      <w:r>
        <w:rPr>
          <w:sz w:val="28"/>
          <w:szCs w:val="28"/>
        </w:rPr>
        <w:t>ения 229586,3 тыс. рублей, в 2018 году – 126262,4 тыс. рублей, в 2019 году – 131077,4 тыс. рублей.</w:t>
      </w:r>
      <w:r w:rsidR="00590A16">
        <w:rPr>
          <w:sz w:val="28"/>
          <w:szCs w:val="28"/>
        </w:rPr>
        <w:t xml:space="preserve">  </w:t>
      </w:r>
      <w:r>
        <w:rPr>
          <w:sz w:val="28"/>
          <w:szCs w:val="28"/>
        </w:rPr>
        <w:t>М</w:t>
      </w:r>
      <w:r w:rsidR="00590A16">
        <w:rPr>
          <w:sz w:val="28"/>
          <w:szCs w:val="28"/>
        </w:rPr>
        <w:t>ежбюджетны</w:t>
      </w:r>
      <w:r>
        <w:rPr>
          <w:sz w:val="28"/>
          <w:szCs w:val="28"/>
        </w:rPr>
        <w:t xml:space="preserve">е трансферты планируется на предоставление </w:t>
      </w:r>
      <w:proofErr w:type="gramStart"/>
      <w:r>
        <w:rPr>
          <w:sz w:val="28"/>
          <w:szCs w:val="28"/>
        </w:rPr>
        <w:t>дотаций</w:t>
      </w:r>
      <w:proofErr w:type="gramEnd"/>
      <w:r>
        <w:rPr>
          <w:sz w:val="28"/>
          <w:szCs w:val="28"/>
        </w:rPr>
        <w:t xml:space="preserve"> на выравнивание бюджетной обеспеченности, прочие дотации, субвенции местным бюджетам на выполнение передаваемых полномочий су</w:t>
      </w:r>
      <w:r w:rsidR="005841C2">
        <w:rPr>
          <w:sz w:val="28"/>
          <w:szCs w:val="28"/>
        </w:rPr>
        <w:t>бъектов РФ, прочие субвенции, иные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соглашениями.</w:t>
      </w:r>
    </w:p>
    <w:p w:rsidR="000649E7" w:rsidRDefault="000649E7" w:rsidP="00824911">
      <w:pPr>
        <w:ind w:firstLine="708"/>
        <w:jc w:val="both"/>
        <w:rPr>
          <w:sz w:val="28"/>
          <w:szCs w:val="28"/>
        </w:rPr>
      </w:pPr>
    </w:p>
    <w:p w:rsidR="00B04157" w:rsidRDefault="0003124F" w:rsidP="00824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</w:t>
      </w:r>
      <w:r w:rsidR="00BD2DDE">
        <w:rPr>
          <w:sz w:val="28"/>
          <w:szCs w:val="28"/>
        </w:rPr>
        <w:t xml:space="preserve"> в 2017 году и плановом периоде 2018-2019гг. будут ориентированы на улучшение условий жизни человека, адресное решение социальных проблем и повышение качества муниципальных услуг. Формирование расходов осуществлялось в соответствии с расходными обязательствами на основании реестра расходных </w:t>
      </w:r>
      <w:r w:rsidR="00BD2DDE" w:rsidRPr="004F01A7">
        <w:rPr>
          <w:sz w:val="28"/>
          <w:szCs w:val="28"/>
        </w:rPr>
        <w:t>обязательств</w:t>
      </w:r>
      <w:r w:rsidR="008521D1" w:rsidRPr="004F01A7">
        <w:rPr>
          <w:sz w:val="28"/>
          <w:szCs w:val="28"/>
        </w:rPr>
        <w:t>.</w:t>
      </w:r>
      <w:r w:rsidR="004F01A7">
        <w:rPr>
          <w:sz w:val="28"/>
          <w:szCs w:val="28"/>
        </w:rPr>
        <w:t xml:space="preserve"> </w:t>
      </w:r>
    </w:p>
    <w:p w:rsidR="00B04157" w:rsidRDefault="00B04157" w:rsidP="00824911">
      <w:pPr>
        <w:ind w:firstLine="708"/>
        <w:jc w:val="both"/>
        <w:rPr>
          <w:sz w:val="28"/>
          <w:szCs w:val="28"/>
        </w:rPr>
      </w:pPr>
    </w:p>
    <w:p w:rsidR="008521D1" w:rsidRPr="00FA04AE" w:rsidRDefault="008521D1" w:rsidP="008521D1">
      <w:pPr>
        <w:pStyle w:val="a7"/>
        <w:keepNext/>
        <w:jc w:val="both"/>
        <w:rPr>
          <w:sz w:val="24"/>
          <w:szCs w:val="24"/>
        </w:rPr>
      </w:pPr>
      <w:r>
        <w:t>Таблица №</w:t>
      </w:r>
      <w:r w:rsidR="008F6FB9">
        <w:t>8</w:t>
      </w:r>
      <w:r>
        <w:t xml:space="preserve"> </w:t>
      </w:r>
      <w:r w:rsidR="0032531E" w:rsidRPr="0032531E">
        <w:rPr>
          <w:sz w:val="24"/>
          <w:szCs w:val="24"/>
        </w:rPr>
        <w:t>Сравнительный а</w:t>
      </w:r>
      <w:r w:rsidR="00FA04AE">
        <w:rPr>
          <w:sz w:val="24"/>
          <w:szCs w:val="24"/>
        </w:rPr>
        <w:t>нализ структуры расходов</w:t>
      </w:r>
    </w:p>
    <w:p w:rsidR="00BD2DDE" w:rsidRDefault="00B04157" w:rsidP="00824911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42195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BD2DDE">
        <w:rPr>
          <w:sz w:val="28"/>
          <w:szCs w:val="28"/>
        </w:rPr>
        <w:t xml:space="preserve">  </w:t>
      </w:r>
      <w:r w:rsidR="0003124F">
        <w:rPr>
          <w:sz w:val="28"/>
          <w:szCs w:val="28"/>
        </w:rPr>
        <w:t xml:space="preserve"> </w:t>
      </w:r>
    </w:p>
    <w:p w:rsidR="00BD2DDE" w:rsidRDefault="00BD2DDE" w:rsidP="00824911">
      <w:pPr>
        <w:ind w:firstLine="708"/>
        <w:jc w:val="both"/>
        <w:rPr>
          <w:sz w:val="28"/>
          <w:szCs w:val="28"/>
        </w:rPr>
      </w:pPr>
    </w:p>
    <w:p w:rsidR="0061275B" w:rsidRDefault="0032531E" w:rsidP="00DD0A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Общая сумма запланированных расходов на 2017 год составила 248540,2 тыс. рублей, на 2018 год – 172137,4 тыс. рублей, на 2019 год – 176835,4 тыс. рублей. </w:t>
      </w:r>
      <w:proofErr w:type="gramStart"/>
      <w:r w:rsidR="00FA04AE">
        <w:rPr>
          <w:sz w:val="28"/>
          <w:szCs w:val="28"/>
        </w:rPr>
        <w:t xml:space="preserve">Из </w:t>
      </w:r>
      <w:r w:rsidR="004F01A7">
        <w:rPr>
          <w:sz w:val="28"/>
          <w:szCs w:val="28"/>
        </w:rPr>
        <w:t xml:space="preserve">анализа </w:t>
      </w:r>
      <w:r w:rsidR="00FA04AE">
        <w:rPr>
          <w:sz w:val="28"/>
          <w:szCs w:val="28"/>
        </w:rPr>
        <w:t xml:space="preserve">структуры расходов на 2017 год и плановый период 2018-2019гг. видно, что по сравнению с 2016 годом </w:t>
      </w:r>
      <w:r w:rsidR="004F01A7">
        <w:rPr>
          <w:sz w:val="28"/>
          <w:szCs w:val="28"/>
        </w:rPr>
        <w:t xml:space="preserve">значительно </w:t>
      </w:r>
      <w:r w:rsidR="00FA04AE">
        <w:rPr>
          <w:sz w:val="28"/>
          <w:szCs w:val="28"/>
        </w:rPr>
        <w:t>увеличились расходы</w:t>
      </w:r>
      <w:r>
        <w:rPr>
          <w:sz w:val="28"/>
          <w:szCs w:val="28"/>
        </w:rPr>
        <w:t xml:space="preserve"> в 2017 году</w:t>
      </w:r>
      <w:r w:rsidR="00FA04AE">
        <w:rPr>
          <w:sz w:val="28"/>
          <w:szCs w:val="28"/>
        </w:rPr>
        <w:t xml:space="preserve"> на общегосударственные вопросы</w:t>
      </w:r>
      <w:r w:rsidR="008C6105">
        <w:rPr>
          <w:sz w:val="28"/>
          <w:szCs w:val="28"/>
        </w:rPr>
        <w:t xml:space="preserve"> (на 3011,6 тыс. рублей</w:t>
      </w:r>
      <w:r w:rsidR="00FE28B8">
        <w:rPr>
          <w:sz w:val="28"/>
          <w:szCs w:val="28"/>
        </w:rPr>
        <w:t xml:space="preserve"> за счет увеличения расходов по выполнению региональных показателей по заработной плате</w:t>
      </w:r>
      <w:r w:rsidR="008C6105">
        <w:rPr>
          <w:sz w:val="28"/>
          <w:szCs w:val="28"/>
        </w:rPr>
        <w:t>)</w:t>
      </w:r>
      <w:r w:rsidR="004F01A7">
        <w:rPr>
          <w:sz w:val="28"/>
          <w:szCs w:val="28"/>
        </w:rPr>
        <w:t>,</w:t>
      </w:r>
      <w:r w:rsidR="008C6105">
        <w:rPr>
          <w:sz w:val="28"/>
          <w:szCs w:val="28"/>
        </w:rPr>
        <w:t xml:space="preserve"> физическую культуру и спорт (на 1556,1 тыс. рублей</w:t>
      </w:r>
      <w:r w:rsidR="00FE28B8">
        <w:rPr>
          <w:sz w:val="28"/>
          <w:szCs w:val="28"/>
        </w:rPr>
        <w:t xml:space="preserve"> в связи с введением в эксплуатацию здания МКУ «Центр физической</w:t>
      </w:r>
      <w:proofErr w:type="gramEnd"/>
      <w:r w:rsidR="00FE28B8">
        <w:rPr>
          <w:sz w:val="28"/>
          <w:szCs w:val="28"/>
        </w:rPr>
        <w:t xml:space="preserve"> культуры и спорта» оплачен налог на имущество</w:t>
      </w:r>
      <w:r w:rsidR="008C6105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8C6105">
        <w:rPr>
          <w:sz w:val="28"/>
          <w:szCs w:val="28"/>
        </w:rPr>
        <w:t xml:space="preserve">Прогнозируется снижение расходов по сравнению с 2016 годом на образование  на 14494,2 тыс. рублей (в 2016 году проводился капитальный ремонт детского сада </w:t>
      </w:r>
      <w:proofErr w:type="gramStart"/>
      <w:r w:rsidR="008C6105">
        <w:rPr>
          <w:sz w:val="28"/>
          <w:szCs w:val="28"/>
        </w:rPr>
        <w:t>в</w:t>
      </w:r>
      <w:proofErr w:type="gramEnd"/>
      <w:r w:rsidR="008C6105">
        <w:rPr>
          <w:sz w:val="28"/>
          <w:szCs w:val="28"/>
        </w:rPr>
        <w:t xml:space="preserve"> </w:t>
      </w:r>
      <w:proofErr w:type="gramStart"/>
      <w:r w:rsidR="008C6105">
        <w:rPr>
          <w:sz w:val="28"/>
          <w:szCs w:val="28"/>
        </w:rPr>
        <w:t>с</w:t>
      </w:r>
      <w:proofErr w:type="gramEnd"/>
      <w:r w:rsidR="008C6105">
        <w:rPr>
          <w:sz w:val="28"/>
          <w:szCs w:val="28"/>
        </w:rPr>
        <w:t>. Россошь), на культуру на 1822 тыс. рублей (</w:t>
      </w:r>
      <w:r w:rsidR="00FE28B8">
        <w:rPr>
          <w:sz w:val="28"/>
          <w:szCs w:val="28"/>
        </w:rPr>
        <w:t xml:space="preserve">по сравнению с 2016 годом </w:t>
      </w:r>
      <w:r w:rsidR="008C6105">
        <w:rPr>
          <w:sz w:val="28"/>
          <w:szCs w:val="28"/>
        </w:rPr>
        <w:t>сократилась численность работников в культурно досуговых центрах, соответственно сократились расходы по ФОТ)</w:t>
      </w:r>
      <w:r>
        <w:rPr>
          <w:sz w:val="28"/>
          <w:szCs w:val="28"/>
        </w:rPr>
        <w:t>.</w:t>
      </w:r>
      <w:r w:rsidR="00FE28B8">
        <w:rPr>
          <w:sz w:val="28"/>
          <w:szCs w:val="28"/>
        </w:rPr>
        <w:t xml:space="preserve"> </w:t>
      </w:r>
      <w:r w:rsidR="008142E7">
        <w:rPr>
          <w:sz w:val="28"/>
          <w:szCs w:val="28"/>
        </w:rPr>
        <w:t xml:space="preserve"> </w:t>
      </w:r>
      <w:proofErr w:type="gramStart"/>
      <w:r w:rsidR="008142E7" w:rsidRPr="00FE28B8">
        <w:rPr>
          <w:sz w:val="28"/>
          <w:szCs w:val="28"/>
        </w:rPr>
        <w:t>Основная</w:t>
      </w:r>
      <w:r w:rsidR="008142E7">
        <w:rPr>
          <w:sz w:val="28"/>
          <w:szCs w:val="28"/>
        </w:rPr>
        <w:t xml:space="preserve"> часть расходов направлена на </w:t>
      </w:r>
      <w:r w:rsidR="000C0408">
        <w:rPr>
          <w:sz w:val="28"/>
          <w:szCs w:val="28"/>
        </w:rPr>
        <w:t xml:space="preserve">финансирование </w:t>
      </w:r>
      <w:r w:rsidR="008142E7">
        <w:rPr>
          <w:sz w:val="28"/>
          <w:szCs w:val="28"/>
        </w:rPr>
        <w:t>раздел</w:t>
      </w:r>
      <w:r w:rsidR="000C0408">
        <w:rPr>
          <w:sz w:val="28"/>
          <w:szCs w:val="28"/>
        </w:rPr>
        <w:t>а</w:t>
      </w:r>
      <w:r w:rsidR="008142E7">
        <w:rPr>
          <w:sz w:val="28"/>
          <w:szCs w:val="28"/>
        </w:rPr>
        <w:t xml:space="preserve"> «Образование» в сумме </w:t>
      </w:r>
      <w:r w:rsidR="00FE28B8">
        <w:rPr>
          <w:sz w:val="28"/>
          <w:szCs w:val="28"/>
        </w:rPr>
        <w:t>136390,9</w:t>
      </w:r>
      <w:r w:rsidR="008142E7">
        <w:rPr>
          <w:sz w:val="28"/>
          <w:szCs w:val="28"/>
        </w:rPr>
        <w:t xml:space="preserve"> тыс. рублей (</w:t>
      </w:r>
      <w:r w:rsidR="00DD2028">
        <w:rPr>
          <w:sz w:val="28"/>
          <w:szCs w:val="28"/>
        </w:rPr>
        <w:t>5</w:t>
      </w:r>
      <w:r w:rsidR="00FE28B8">
        <w:rPr>
          <w:sz w:val="28"/>
          <w:szCs w:val="28"/>
        </w:rPr>
        <w:t>5</w:t>
      </w:r>
      <w:r w:rsidR="000C0408">
        <w:rPr>
          <w:sz w:val="28"/>
          <w:szCs w:val="28"/>
        </w:rPr>
        <w:t xml:space="preserve">%), «общегосударственные вопросы» - </w:t>
      </w:r>
      <w:r w:rsidR="00FE28B8">
        <w:rPr>
          <w:sz w:val="28"/>
          <w:szCs w:val="28"/>
        </w:rPr>
        <w:t>36668,7</w:t>
      </w:r>
      <w:r w:rsidR="000C0408">
        <w:rPr>
          <w:sz w:val="28"/>
          <w:szCs w:val="28"/>
        </w:rPr>
        <w:t xml:space="preserve"> тыс. рублей (1</w:t>
      </w:r>
      <w:r w:rsidR="00FE28B8">
        <w:rPr>
          <w:sz w:val="28"/>
          <w:szCs w:val="28"/>
        </w:rPr>
        <w:t>5</w:t>
      </w:r>
      <w:r w:rsidR="000C0408">
        <w:rPr>
          <w:sz w:val="28"/>
          <w:szCs w:val="28"/>
        </w:rPr>
        <w:t xml:space="preserve">%), </w:t>
      </w:r>
      <w:r w:rsidR="00DD2028">
        <w:rPr>
          <w:sz w:val="28"/>
          <w:szCs w:val="28"/>
        </w:rPr>
        <w:t xml:space="preserve">«межбюджетные трансферты общего характера» - </w:t>
      </w:r>
      <w:r w:rsidR="00FE28B8">
        <w:rPr>
          <w:sz w:val="28"/>
          <w:szCs w:val="28"/>
        </w:rPr>
        <w:t>26613</w:t>
      </w:r>
      <w:r w:rsidR="00DD2028">
        <w:rPr>
          <w:sz w:val="28"/>
          <w:szCs w:val="28"/>
        </w:rPr>
        <w:t>тыс. рублей</w:t>
      </w:r>
      <w:r w:rsidR="00FE28B8">
        <w:rPr>
          <w:sz w:val="28"/>
          <w:szCs w:val="28"/>
        </w:rPr>
        <w:t xml:space="preserve"> </w:t>
      </w:r>
      <w:r w:rsidR="0061275B">
        <w:rPr>
          <w:sz w:val="28"/>
          <w:szCs w:val="28"/>
        </w:rPr>
        <w:t>(11%)</w:t>
      </w:r>
      <w:r w:rsidR="00DD2028">
        <w:rPr>
          <w:sz w:val="28"/>
          <w:szCs w:val="28"/>
        </w:rPr>
        <w:t xml:space="preserve">, </w:t>
      </w:r>
      <w:r w:rsidR="000C0408">
        <w:rPr>
          <w:sz w:val="28"/>
          <w:szCs w:val="28"/>
        </w:rPr>
        <w:t xml:space="preserve">«культура, кинематография» - </w:t>
      </w:r>
      <w:r w:rsidR="00FE28B8">
        <w:rPr>
          <w:sz w:val="28"/>
          <w:szCs w:val="28"/>
        </w:rPr>
        <w:t>21216,5</w:t>
      </w:r>
      <w:r w:rsidR="000C0408">
        <w:rPr>
          <w:sz w:val="28"/>
          <w:szCs w:val="28"/>
        </w:rPr>
        <w:t>тыс. рублей (</w:t>
      </w:r>
      <w:r w:rsidR="0061275B">
        <w:rPr>
          <w:sz w:val="28"/>
          <w:szCs w:val="28"/>
        </w:rPr>
        <w:t xml:space="preserve">9%), </w:t>
      </w:r>
      <w:r w:rsidR="000C0408">
        <w:rPr>
          <w:sz w:val="28"/>
          <w:szCs w:val="28"/>
        </w:rPr>
        <w:t xml:space="preserve"> «социальная политика» - </w:t>
      </w:r>
      <w:r w:rsidR="00FE28B8">
        <w:rPr>
          <w:sz w:val="28"/>
          <w:szCs w:val="28"/>
        </w:rPr>
        <w:t>11969,4</w:t>
      </w:r>
      <w:r w:rsidR="000C0408">
        <w:rPr>
          <w:sz w:val="28"/>
          <w:szCs w:val="28"/>
        </w:rPr>
        <w:t xml:space="preserve"> тыс. рублей (</w:t>
      </w:r>
      <w:r w:rsidR="0061275B">
        <w:rPr>
          <w:sz w:val="28"/>
          <w:szCs w:val="28"/>
        </w:rPr>
        <w:t>5</w:t>
      </w:r>
      <w:r w:rsidR="000C0408">
        <w:rPr>
          <w:sz w:val="28"/>
          <w:szCs w:val="28"/>
        </w:rPr>
        <w:t xml:space="preserve">%), «национальная экономика» - </w:t>
      </w:r>
      <w:r w:rsidR="00515BF0">
        <w:rPr>
          <w:sz w:val="28"/>
          <w:szCs w:val="28"/>
        </w:rPr>
        <w:t>8274,7</w:t>
      </w:r>
      <w:r w:rsidR="000C0408">
        <w:rPr>
          <w:sz w:val="28"/>
          <w:szCs w:val="28"/>
        </w:rPr>
        <w:t>тыс. рублей (</w:t>
      </w:r>
      <w:r w:rsidR="00515BF0">
        <w:rPr>
          <w:sz w:val="28"/>
          <w:szCs w:val="28"/>
        </w:rPr>
        <w:t>3</w:t>
      </w:r>
      <w:r w:rsidR="000C0408">
        <w:rPr>
          <w:sz w:val="28"/>
          <w:szCs w:val="28"/>
        </w:rPr>
        <w:t>%)</w:t>
      </w:r>
      <w:r w:rsidR="0061275B">
        <w:rPr>
          <w:sz w:val="28"/>
          <w:szCs w:val="28"/>
        </w:rPr>
        <w:t xml:space="preserve">, «физическая культура» - </w:t>
      </w:r>
      <w:r w:rsidR="00515BF0">
        <w:rPr>
          <w:sz w:val="28"/>
          <w:szCs w:val="28"/>
        </w:rPr>
        <w:t>6807</w:t>
      </w:r>
      <w:r w:rsidR="0061275B">
        <w:rPr>
          <w:sz w:val="28"/>
          <w:szCs w:val="28"/>
        </w:rPr>
        <w:t>тыс. рублей (</w:t>
      </w:r>
      <w:r w:rsidR="00515BF0">
        <w:rPr>
          <w:sz w:val="28"/>
          <w:szCs w:val="28"/>
        </w:rPr>
        <w:t>3</w:t>
      </w:r>
      <w:r w:rsidR="0061275B">
        <w:rPr>
          <w:sz w:val="28"/>
          <w:szCs w:val="28"/>
        </w:rPr>
        <w:t xml:space="preserve">%), </w:t>
      </w:r>
      <w:r w:rsidR="00515BF0">
        <w:rPr>
          <w:sz w:val="28"/>
          <w:szCs w:val="28"/>
        </w:rPr>
        <w:t xml:space="preserve"> </w:t>
      </w:r>
      <w:r w:rsidR="0061275B">
        <w:rPr>
          <w:sz w:val="28"/>
          <w:szCs w:val="28"/>
        </w:rPr>
        <w:t xml:space="preserve">обслуживание муниципального долга» - </w:t>
      </w:r>
      <w:r w:rsidR="00515BF0">
        <w:rPr>
          <w:sz w:val="28"/>
          <w:szCs w:val="28"/>
        </w:rPr>
        <w:t>300</w:t>
      </w:r>
      <w:r w:rsidR="0061275B">
        <w:rPr>
          <w:sz w:val="28"/>
          <w:szCs w:val="28"/>
        </w:rPr>
        <w:t xml:space="preserve"> тыс. рублей(0,2%)</w:t>
      </w:r>
      <w:r w:rsidR="00515BF0">
        <w:rPr>
          <w:sz w:val="28"/>
          <w:szCs w:val="28"/>
        </w:rPr>
        <w:t>,«ЖКХ» - 200 тыс</w:t>
      </w:r>
      <w:proofErr w:type="gramEnd"/>
      <w:r w:rsidR="00515BF0">
        <w:rPr>
          <w:sz w:val="28"/>
          <w:szCs w:val="28"/>
        </w:rPr>
        <w:t>. рублей(0,1%), «национальная безопасность» - 100 тыс. рублей (0,004%)</w:t>
      </w:r>
      <w:r w:rsidR="000C0408">
        <w:rPr>
          <w:sz w:val="28"/>
          <w:szCs w:val="28"/>
        </w:rPr>
        <w:t xml:space="preserve">. </w:t>
      </w:r>
      <w:proofErr w:type="gramStart"/>
      <w:r w:rsidR="00515BF0">
        <w:rPr>
          <w:sz w:val="28"/>
          <w:szCs w:val="28"/>
        </w:rPr>
        <w:t xml:space="preserve">В составе расходов на 2018-2019гг. предусмотрены условно утвержденные расходы на 2018 год в сумме 4414тыс. рублей или </w:t>
      </w:r>
      <w:r w:rsidR="00797913">
        <w:rPr>
          <w:sz w:val="28"/>
          <w:szCs w:val="28"/>
        </w:rPr>
        <w:t>6,3%</w:t>
      </w:r>
      <w:r w:rsidR="00F37D96">
        <w:rPr>
          <w:sz w:val="28"/>
          <w:szCs w:val="28"/>
        </w:rPr>
        <w:t xml:space="preserve">, на 2019 год 9308 тыс. рублей или </w:t>
      </w:r>
      <w:r w:rsidR="00797913">
        <w:rPr>
          <w:sz w:val="28"/>
          <w:szCs w:val="28"/>
        </w:rPr>
        <w:t>13%</w:t>
      </w:r>
      <w:r w:rsidR="00F37D96">
        <w:rPr>
          <w:sz w:val="28"/>
          <w:szCs w:val="28"/>
        </w:rPr>
        <w:t xml:space="preserve">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="00797913">
        <w:rPr>
          <w:sz w:val="28"/>
          <w:szCs w:val="28"/>
        </w:rPr>
        <w:t>, что соответствует ст.184.1 БК РФ.</w:t>
      </w:r>
      <w:proofErr w:type="gramEnd"/>
      <w:r w:rsidR="00DD0A16">
        <w:rPr>
          <w:sz w:val="28"/>
          <w:szCs w:val="28"/>
        </w:rPr>
        <w:t xml:space="preserve"> В составе расходов  на 2019 год предусмотрены расходы на обслуживание муниципального долга в размере 100 тыс. рублей. Однако полное погашение муниципального долга прогнозируется в 2018 году. На 2019 год бюджетные кредиты не планируются, соответственно расходы по данному направлению целесообразнее перераспределить. </w:t>
      </w:r>
      <w:r w:rsidR="00D95CDA">
        <w:rPr>
          <w:sz w:val="28"/>
          <w:szCs w:val="28"/>
        </w:rPr>
        <w:t xml:space="preserve">Следует отметить, что индексация </w:t>
      </w:r>
      <w:proofErr w:type="gramStart"/>
      <w:r w:rsidR="00D95CDA">
        <w:rPr>
          <w:sz w:val="28"/>
          <w:szCs w:val="28"/>
        </w:rPr>
        <w:t>оплаты труда работников органов местного самоуправления</w:t>
      </w:r>
      <w:proofErr w:type="gramEnd"/>
      <w:r w:rsidR="00D95CDA">
        <w:rPr>
          <w:sz w:val="28"/>
          <w:szCs w:val="28"/>
        </w:rPr>
        <w:t xml:space="preserve"> не планируется. </w:t>
      </w:r>
    </w:p>
    <w:p w:rsidR="00F1709F" w:rsidRDefault="00D95CDA" w:rsidP="00A41A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709F">
        <w:rPr>
          <w:sz w:val="28"/>
          <w:szCs w:val="28"/>
        </w:rPr>
        <w:t>оциальная политика</w:t>
      </w:r>
      <w:r>
        <w:rPr>
          <w:sz w:val="28"/>
          <w:szCs w:val="28"/>
        </w:rPr>
        <w:t xml:space="preserve"> Репьевского муниципального района</w:t>
      </w:r>
      <w:r w:rsidR="00F1709F">
        <w:rPr>
          <w:sz w:val="28"/>
          <w:szCs w:val="28"/>
        </w:rPr>
        <w:t xml:space="preserve"> включает в себя:</w:t>
      </w:r>
    </w:p>
    <w:p w:rsidR="00F1709F" w:rsidRDefault="00F1709F" w:rsidP="00674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доплаты к пенсиям муниципальных служащих – </w:t>
      </w:r>
      <w:r w:rsidR="00C66042">
        <w:rPr>
          <w:sz w:val="28"/>
          <w:szCs w:val="28"/>
        </w:rPr>
        <w:t>2</w:t>
      </w:r>
      <w:r w:rsidR="00A41A60">
        <w:rPr>
          <w:sz w:val="28"/>
          <w:szCs w:val="28"/>
        </w:rPr>
        <w:t>9</w:t>
      </w:r>
      <w:r w:rsidR="00D95CDA">
        <w:rPr>
          <w:sz w:val="28"/>
          <w:szCs w:val="28"/>
        </w:rPr>
        <w:t>9</w:t>
      </w:r>
      <w:r w:rsidR="00A41A60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F1709F" w:rsidRDefault="00F1709F" w:rsidP="00674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социальное обеспечение населения – </w:t>
      </w:r>
      <w:r w:rsidR="00A41A60">
        <w:rPr>
          <w:sz w:val="28"/>
          <w:szCs w:val="28"/>
        </w:rPr>
        <w:t>1195,3</w:t>
      </w:r>
      <w:r>
        <w:rPr>
          <w:sz w:val="28"/>
          <w:szCs w:val="28"/>
        </w:rPr>
        <w:t xml:space="preserve"> тыс. рублей;</w:t>
      </w:r>
    </w:p>
    <w:p w:rsidR="00F1709F" w:rsidRDefault="00F1709F" w:rsidP="006748AD">
      <w:pPr>
        <w:jc w:val="both"/>
        <w:rPr>
          <w:sz w:val="28"/>
          <w:szCs w:val="28"/>
        </w:rPr>
      </w:pPr>
      <w:r>
        <w:rPr>
          <w:sz w:val="28"/>
          <w:szCs w:val="28"/>
        </w:rPr>
        <w:t>- охрана семьи и детства –</w:t>
      </w:r>
      <w:r w:rsidR="00A41A60">
        <w:rPr>
          <w:sz w:val="28"/>
          <w:szCs w:val="28"/>
        </w:rPr>
        <w:t>7739,1</w:t>
      </w:r>
      <w:r>
        <w:rPr>
          <w:sz w:val="28"/>
          <w:szCs w:val="28"/>
        </w:rPr>
        <w:t xml:space="preserve"> тыс. рублей;</w:t>
      </w:r>
    </w:p>
    <w:p w:rsidR="006A7651" w:rsidRDefault="00C66042" w:rsidP="00674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другие вопросы в области социальной политики – </w:t>
      </w:r>
      <w:r w:rsidR="00A41A60">
        <w:rPr>
          <w:sz w:val="28"/>
          <w:szCs w:val="28"/>
        </w:rPr>
        <w:t>45</w:t>
      </w:r>
      <w:r>
        <w:rPr>
          <w:sz w:val="28"/>
          <w:szCs w:val="28"/>
        </w:rPr>
        <w:t xml:space="preserve"> тыс. рублей (помощь Репьевскому районному отделению Воронежской областной общественной организации Всероссийского общества инвалидов и районного Совета ветеранов войны и труда Репьевского района).</w:t>
      </w:r>
      <w:r w:rsidR="00835423">
        <w:rPr>
          <w:sz w:val="28"/>
          <w:szCs w:val="28"/>
        </w:rPr>
        <w:t xml:space="preserve"> </w:t>
      </w:r>
      <w:r w:rsidR="00A41A60">
        <w:rPr>
          <w:sz w:val="28"/>
          <w:szCs w:val="28"/>
        </w:rPr>
        <w:t xml:space="preserve"> </w:t>
      </w:r>
      <w:r w:rsidR="00F1709F">
        <w:rPr>
          <w:sz w:val="28"/>
          <w:szCs w:val="28"/>
        </w:rPr>
        <w:tab/>
      </w:r>
      <w:r w:rsidR="00835423">
        <w:rPr>
          <w:sz w:val="28"/>
          <w:szCs w:val="28"/>
        </w:rPr>
        <w:t>Бюд</w:t>
      </w:r>
      <w:r w:rsidR="00F1709F">
        <w:rPr>
          <w:sz w:val="28"/>
          <w:szCs w:val="28"/>
        </w:rPr>
        <w:t>жет Репьевского муниципального района на 201</w:t>
      </w:r>
      <w:r w:rsidR="00A41A60">
        <w:rPr>
          <w:sz w:val="28"/>
          <w:szCs w:val="28"/>
        </w:rPr>
        <w:t>7</w:t>
      </w:r>
      <w:r w:rsidR="00F1709F">
        <w:rPr>
          <w:sz w:val="28"/>
          <w:szCs w:val="28"/>
        </w:rPr>
        <w:t xml:space="preserve"> год, является социально-ориен</w:t>
      </w:r>
      <w:r w:rsidR="00F028F7">
        <w:rPr>
          <w:sz w:val="28"/>
          <w:szCs w:val="28"/>
        </w:rPr>
        <w:t xml:space="preserve">тированным. Большая доля расходов предусмотрена на социально-значимые </w:t>
      </w:r>
      <w:r>
        <w:rPr>
          <w:sz w:val="28"/>
          <w:szCs w:val="28"/>
        </w:rPr>
        <w:t xml:space="preserve">и первоочередные </w:t>
      </w:r>
      <w:r w:rsidRPr="00C66042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расходы.</w:t>
      </w:r>
      <w:r w:rsidR="00F028F7">
        <w:rPr>
          <w:sz w:val="28"/>
          <w:szCs w:val="28"/>
        </w:rPr>
        <w:t xml:space="preserve"> </w:t>
      </w:r>
      <w:r w:rsidR="00F1709F">
        <w:rPr>
          <w:sz w:val="28"/>
          <w:szCs w:val="28"/>
        </w:rPr>
        <w:t xml:space="preserve"> </w:t>
      </w:r>
      <w:r w:rsidR="006A7651">
        <w:rPr>
          <w:sz w:val="28"/>
          <w:szCs w:val="28"/>
        </w:rPr>
        <w:t xml:space="preserve"> </w:t>
      </w:r>
    </w:p>
    <w:p w:rsidR="0047585E" w:rsidRDefault="0047585E" w:rsidP="006748AD">
      <w:pPr>
        <w:jc w:val="both"/>
        <w:rPr>
          <w:sz w:val="28"/>
          <w:szCs w:val="28"/>
        </w:rPr>
      </w:pPr>
    </w:p>
    <w:p w:rsidR="00067574" w:rsidRDefault="0047585E" w:rsidP="0047585E">
      <w:pPr>
        <w:ind w:firstLine="708"/>
        <w:jc w:val="both"/>
        <w:rPr>
          <w:sz w:val="28"/>
          <w:szCs w:val="28"/>
        </w:rPr>
      </w:pPr>
      <w:r w:rsidRPr="00F854E7">
        <w:rPr>
          <w:sz w:val="28"/>
          <w:szCs w:val="28"/>
        </w:rPr>
        <w:t>Верхний предел</w:t>
      </w:r>
      <w:r>
        <w:rPr>
          <w:sz w:val="28"/>
          <w:szCs w:val="28"/>
        </w:rPr>
        <w:t xml:space="preserve"> муниципаль</w:t>
      </w:r>
      <w:r w:rsidR="00C66042">
        <w:rPr>
          <w:sz w:val="28"/>
          <w:szCs w:val="28"/>
        </w:rPr>
        <w:t>ного долга бюджета на 01.01.201</w:t>
      </w:r>
      <w:r w:rsidR="00A41A60">
        <w:rPr>
          <w:sz w:val="28"/>
          <w:szCs w:val="28"/>
        </w:rPr>
        <w:t>8</w:t>
      </w:r>
      <w:r>
        <w:rPr>
          <w:sz w:val="28"/>
          <w:szCs w:val="28"/>
        </w:rPr>
        <w:t xml:space="preserve">г. установлен в сумме </w:t>
      </w:r>
      <w:r w:rsidR="00A41A60">
        <w:rPr>
          <w:sz w:val="28"/>
          <w:szCs w:val="28"/>
        </w:rPr>
        <w:t>8328,2</w:t>
      </w:r>
      <w:r>
        <w:rPr>
          <w:sz w:val="28"/>
          <w:szCs w:val="28"/>
        </w:rPr>
        <w:t xml:space="preserve"> тыс. рублей</w:t>
      </w:r>
      <w:r w:rsidR="00A41A60">
        <w:rPr>
          <w:sz w:val="28"/>
          <w:szCs w:val="28"/>
        </w:rPr>
        <w:t>, на 01.01.2019года  - 6146,2 тыс. рублей, на 01.01.2020 года – 6146,2 тыс. рублей</w:t>
      </w:r>
      <w:r w:rsidR="00C66042">
        <w:rPr>
          <w:sz w:val="28"/>
          <w:szCs w:val="28"/>
        </w:rPr>
        <w:t xml:space="preserve">. Данный показатель, является </w:t>
      </w:r>
      <w:r w:rsidR="00C66042">
        <w:rPr>
          <w:sz w:val="28"/>
          <w:szCs w:val="28"/>
        </w:rPr>
        <w:lastRenderedPageBreak/>
        <w:t xml:space="preserve">расчетным,  </w:t>
      </w:r>
      <w:r>
        <w:rPr>
          <w:sz w:val="28"/>
          <w:szCs w:val="28"/>
        </w:rPr>
        <w:t xml:space="preserve"> что соответствует п.6, ст.107 БК РФ</w:t>
      </w:r>
      <w:r w:rsidR="00C660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66042">
        <w:rPr>
          <w:sz w:val="28"/>
          <w:szCs w:val="28"/>
        </w:rPr>
        <w:t>О</w:t>
      </w:r>
      <w:r>
        <w:rPr>
          <w:sz w:val="28"/>
          <w:szCs w:val="28"/>
        </w:rPr>
        <w:t xml:space="preserve">бъем расходов на обслуживание муниципального долга </w:t>
      </w:r>
      <w:r w:rsidR="00A41A60">
        <w:rPr>
          <w:sz w:val="28"/>
          <w:szCs w:val="28"/>
        </w:rPr>
        <w:t xml:space="preserve">на 2017 год </w:t>
      </w:r>
      <w:r>
        <w:rPr>
          <w:sz w:val="28"/>
          <w:szCs w:val="28"/>
        </w:rPr>
        <w:t xml:space="preserve">составит </w:t>
      </w:r>
      <w:r w:rsidR="00A41A60">
        <w:rPr>
          <w:sz w:val="28"/>
          <w:szCs w:val="28"/>
        </w:rPr>
        <w:t>300</w:t>
      </w:r>
      <w:r>
        <w:rPr>
          <w:sz w:val="28"/>
          <w:szCs w:val="28"/>
        </w:rPr>
        <w:t xml:space="preserve"> тыс. рублей</w:t>
      </w:r>
      <w:r w:rsidR="00A41A60">
        <w:rPr>
          <w:sz w:val="28"/>
          <w:szCs w:val="28"/>
        </w:rPr>
        <w:t xml:space="preserve">, на 2018 год - 100тыс. рублей, на 2019 год – 100 тыс. рублей. </w:t>
      </w:r>
    </w:p>
    <w:p w:rsidR="00A41A60" w:rsidRDefault="00A41A60" w:rsidP="0047585E">
      <w:pPr>
        <w:ind w:firstLine="708"/>
        <w:jc w:val="both"/>
        <w:rPr>
          <w:sz w:val="28"/>
          <w:szCs w:val="28"/>
        </w:rPr>
      </w:pPr>
    </w:p>
    <w:p w:rsidR="00A577BF" w:rsidRDefault="00A577BF" w:rsidP="004758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Предельный объем муниципального долга установлен </w:t>
      </w:r>
      <w:r w:rsidR="00252FA1">
        <w:rPr>
          <w:sz w:val="28"/>
          <w:szCs w:val="28"/>
        </w:rPr>
        <w:t>на 2017 год - 25358</w:t>
      </w:r>
      <w:r>
        <w:rPr>
          <w:sz w:val="28"/>
          <w:szCs w:val="28"/>
        </w:rPr>
        <w:t xml:space="preserve"> тыс. рублей</w:t>
      </w:r>
      <w:r w:rsidR="00252FA1">
        <w:rPr>
          <w:sz w:val="28"/>
          <w:szCs w:val="28"/>
        </w:rPr>
        <w:t>, на 2018 год – 26235,5 тыс. рублей, на 2019 год – 27533 тыс. рублей</w:t>
      </w:r>
      <w:r>
        <w:rPr>
          <w:sz w:val="28"/>
          <w:szCs w:val="28"/>
        </w:rPr>
        <w:t>. Размер предельного объема муниципального долга соответствует установленной норме п.3, ст.107 БК РФ.</w:t>
      </w:r>
    </w:p>
    <w:p w:rsidR="0047585E" w:rsidRDefault="0047585E" w:rsidP="006748AD">
      <w:pPr>
        <w:jc w:val="both"/>
        <w:rPr>
          <w:sz w:val="28"/>
          <w:szCs w:val="28"/>
        </w:rPr>
      </w:pPr>
    </w:p>
    <w:p w:rsidR="00896AFE" w:rsidRDefault="00067574" w:rsidP="00037D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7DFD">
        <w:rPr>
          <w:sz w:val="28"/>
          <w:szCs w:val="28"/>
        </w:rPr>
        <w:t xml:space="preserve">В составе расходов на общегосударственные вопросы включены расходы на формирование резервного фонда в сумме </w:t>
      </w:r>
      <w:r w:rsidR="007E7EAD" w:rsidRPr="00037DFD">
        <w:rPr>
          <w:sz w:val="28"/>
          <w:szCs w:val="28"/>
        </w:rPr>
        <w:t xml:space="preserve">4650 </w:t>
      </w:r>
      <w:r w:rsidRPr="00037DFD">
        <w:rPr>
          <w:sz w:val="28"/>
          <w:szCs w:val="28"/>
        </w:rPr>
        <w:t>тыс. рублей или</w:t>
      </w:r>
      <w:r w:rsidR="00C66042" w:rsidRPr="00037DFD">
        <w:rPr>
          <w:sz w:val="28"/>
          <w:szCs w:val="28"/>
        </w:rPr>
        <w:t xml:space="preserve"> </w:t>
      </w:r>
      <w:r w:rsidR="00F854E7" w:rsidRPr="00037DFD">
        <w:rPr>
          <w:sz w:val="28"/>
          <w:szCs w:val="28"/>
        </w:rPr>
        <w:t>1,</w:t>
      </w:r>
      <w:r w:rsidR="007E7EAD" w:rsidRPr="00037DFD">
        <w:rPr>
          <w:sz w:val="28"/>
          <w:szCs w:val="28"/>
        </w:rPr>
        <w:t>9</w:t>
      </w:r>
      <w:r w:rsidRPr="00037DFD">
        <w:rPr>
          <w:sz w:val="28"/>
          <w:szCs w:val="28"/>
        </w:rPr>
        <w:t xml:space="preserve">% общего объема расходов бюджета района, что соответствует </w:t>
      </w:r>
      <w:r w:rsidR="008B6336" w:rsidRPr="00037DFD">
        <w:rPr>
          <w:sz w:val="28"/>
          <w:szCs w:val="28"/>
        </w:rPr>
        <w:t>п.3, ст.81 БК РФ. Расходование средств резервного фонда предусмотрено Положением о порядке расходования средств резервного фонда администрации Репьевского муниципального района» №1</w:t>
      </w:r>
      <w:r w:rsidR="00ED0B83" w:rsidRPr="00037DFD">
        <w:rPr>
          <w:sz w:val="28"/>
          <w:szCs w:val="28"/>
        </w:rPr>
        <w:t>56</w:t>
      </w:r>
      <w:r w:rsidR="008B6336" w:rsidRPr="00037DFD">
        <w:rPr>
          <w:sz w:val="28"/>
          <w:szCs w:val="28"/>
        </w:rPr>
        <w:t xml:space="preserve"> от </w:t>
      </w:r>
      <w:r w:rsidR="00ED0B83" w:rsidRPr="00037DFD">
        <w:rPr>
          <w:sz w:val="28"/>
          <w:szCs w:val="28"/>
        </w:rPr>
        <w:t>25</w:t>
      </w:r>
      <w:r w:rsidR="008B6336" w:rsidRPr="00037DFD">
        <w:rPr>
          <w:sz w:val="28"/>
          <w:szCs w:val="28"/>
        </w:rPr>
        <w:t>.0</w:t>
      </w:r>
      <w:r w:rsidR="00ED0B83" w:rsidRPr="00037DFD">
        <w:rPr>
          <w:sz w:val="28"/>
          <w:szCs w:val="28"/>
        </w:rPr>
        <w:t>5</w:t>
      </w:r>
      <w:r w:rsidR="008B6336" w:rsidRPr="00037DFD">
        <w:rPr>
          <w:sz w:val="28"/>
          <w:szCs w:val="28"/>
        </w:rPr>
        <w:t>.20</w:t>
      </w:r>
      <w:r w:rsidR="00ED0B83" w:rsidRPr="00037DFD">
        <w:rPr>
          <w:sz w:val="28"/>
          <w:szCs w:val="28"/>
        </w:rPr>
        <w:t>12</w:t>
      </w:r>
      <w:r w:rsidR="008B6336" w:rsidRPr="00037DFD">
        <w:rPr>
          <w:sz w:val="28"/>
          <w:szCs w:val="28"/>
        </w:rPr>
        <w:t>г.</w:t>
      </w:r>
    </w:p>
    <w:p w:rsidR="00896AFE" w:rsidRDefault="00896AFE" w:rsidP="00067574">
      <w:pPr>
        <w:jc w:val="both"/>
        <w:rPr>
          <w:sz w:val="28"/>
          <w:szCs w:val="28"/>
        </w:rPr>
      </w:pPr>
    </w:p>
    <w:p w:rsidR="00F03E5B" w:rsidRDefault="00C66042" w:rsidP="000675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п.3 ст.184.1 БК РФ, утвержден общий объем бюджетных ассигнований на исполнение публичных нормативных обязательств </w:t>
      </w:r>
      <w:r w:rsidR="007E7EAD">
        <w:rPr>
          <w:sz w:val="28"/>
          <w:szCs w:val="28"/>
        </w:rPr>
        <w:t xml:space="preserve">на 2017 год </w:t>
      </w:r>
      <w:r>
        <w:rPr>
          <w:sz w:val="28"/>
          <w:szCs w:val="28"/>
        </w:rPr>
        <w:t xml:space="preserve">в сумме </w:t>
      </w:r>
      <w:r w:rsidR="007E7EAD">
        <w:rPr>
          <w:sz w:val="28"/>
          <w:szCs w:val="28"/>
        </w:rPr>
        <w:t>7917,1</w:t>
      </w:r>
      <w:r w:rsidR="007C465B">
        <w:rPr>
          <w:sz w:val="28"/>
          <w:szCs w:val="28"/>
        </w:rPr>
        <w:t xml:space="preserve"> тыс. рублей</w:t>
      </w:r>
      <w:r w:rsidR="007E7EAD">
        <w:rPr>
          <w:sz w:val="28"/>
          <w:szCs w:val="28"/>
        </w:rPr>
        <w:t>, на 2018 год в сумме 8032,1 тыс. рублей, на 2019 год в сумме 8032,1 тыс. рублей.</w:t>
      </w:r>
      <w:r w:rsidR="007C465B">
        <w:rPr>
          <w:sz w:val="28"/>
          <w:szCs w:val="28"/>
        </w:rPr>
        <w:t xml:space="preserve"> </w:t>
      </w:r>
      <w:r w:rsidR="007E7EAD">
        <w:rPr>
          <w:sz w:val="28"/>
          <w:szCs w:val="28"/>
        </w:rPr>
        <w:t>О</w:t>
      </w:r>
      <w:r>
        <w:rPr>
          <w:sz w:val="28"/>
          <w:szCs w:val="28"/>
        </w:rPr>
        <w:t>бъемы межбюджетных тра</w:t>
      </w:r>
      <w:r w:rsidR="00F03E5B">
        <w:rPr>
          <w:sz w:val="28"/>
          <w:szCs w:val="28"/>
        </w:rPr>
        <w:t xml:space="preserve">нсфертов местным бюджета </w:t>
      </w:r>
      <w:r w:rsidR="007E7EAD">
        <w:rPr>
          <w:sz w:val="28"/>
          <w:szCs w:val="28"/>
        </w:rPr>
        <w:t xml:space="preserve">на 2017 год </w:t>
      </w:r>
      <w:r w:rsidR="00F03E5B">
        <w:rPr>
          <w:sz w:val="28"/>
          <w:szCs w:val="28"/>
        </w:rPr>
        <w:t xml:space="preserve">в сумме </w:t>
      </w:r>
      <w:r w:rsidR="007E7EAD">
        <w:rPr>
          <w:sz w:val="28"/>
          <w:szCs w:val="28"/>
        </w:rPr>
        <w:t>26613</w:t>
      </w:r>
      <w:r w:rsidR="00F03E5B">
        <w:rPr>
          <w:sz w:val="28"/>
          <w:szCs w:val="28"/>
        </w:rPr>
        <w:t xml:space="preserve"> тыс. рублей</w:t>
      </w:r>
      <w:r w:rsidR="007C465B">
        <w:rPr>
          <w:sz w:val="28"/>
          <w:szCs w:val="28"/>
        </w:rPr>
        <w:t xml:space="preserve"> (дотации бюджетам сельских поселений на выравнивание бюджетной обеспеченности – </w:t>
      </w:r>
      <w:r w:rsidR="007E7EAD">
        <w:rPr>
          <w:sz w:val="28"/>
          <w:szCs w:val="28"/>
        </w:rPr>
        <w:t>4965</w:t>
      </w:r>
      <w:r w:rsidR="007C465B">
        <w:rPr>
          <w:sz w:val="28"/>
          <w:szCs w:val="28"/>
        </w:rPr>
        <w:t xml:space="preserve"> тыс. рублей, дотации на поддержку мер по сбалансированности бюджетов сельских поселений – </w:t>
      </w:r>
      <w:r w:rsidR="007E7EAD">
        <w:rPr>
          <w:sz w:val="28"/>
          <w:szCs w:val="28"/>
        </w:rPr>
        <w:t>21648</w:t>
      </w:r>
      <w:r w:rsidR="007C465B">
        <w:rPr>
          <w:sz w:val="28"/>
          <w:szCs w:val="28"/>
        </w:rPr>
        <w:t xml:space="preserve"> тыс. рублей)</w:t>
      </w:r>
      <w:r w:rsidR="00896AFE">
        <w:rPr>
          <w:sz w:val="28"/>
          <w:szCs w:val="28"/>
        </w:rPr>
        <w:t>.</w:t>
      </w:r>
      <w:r w:rsidR="007E7EAD">
        <w:rPr>
          <w:sz w:val="28"/>
          <w:szCs w:val="28"/>
        </w:rPr>
        <w:t xml:space="preserve"> </w:t>
      </w:r>
      <w:r w:rsidR="00896AFE">
        <w:rPr>
          <w:sz w:val="28"/>
          <w:szCs w:val="28"/>
        </w:rPr>
        <w:t>Н</w:t>
      </w:r>
      <w:r w:rsidR="007E7EAD">
        <w:rPr>
          <w:sz w:val="28"/>
          <w:szCs w:val="28"/>
        </w:rPr>
        <w:t>а 2018</w:t>
      </w:r>
      <w:r w:rsidR="00896AFE">
        <w:rPr>
          <w:sz w:val="28"/>
          <w:szCs w:val="28"/>
        </w:rPr>
        <w:t xml:space="preserve"> и 2019</w:t>
      </w:r>
      <w:r w:rsidR="007E7EAD">
        <w:rPr>
          <w:sz w:val="28"/>
          <w:szCs w:val="28"/>
        </w:rPr>
        <w:t xml:space="preserve"> год</w:t>
      </w:r>
      <w:r w:rsidR="00896AFE">
        <w:rPr>
          <w:sz w:val="28"/>
          <w:szCs w:val="28"/>
        </w:rPr>
        <w:t>ы в проекте бюджета предусмотрены только дотации бюджетам поселений на выравнивание бюджетной обеспеченности в сумме 4450 тыс. рублей и соответственно 4552 тыс. рублей</w:t>
      </w:r>
      <w:r w:rsidR="00F03E5B">
        <w:rPr>
          <w:sz w:val="28"/>
          <w:szCs w:val="28"/>
        </w:rPr>
        <w:t>.</w:t>
      </w:r>
      <w:r w:rsidR="00896AFE">
        <w:rPr>
          <w:sz w:val="28"/>
          <w:szCs w:val="28"/>
        </w:rPr>
        <w:t xml:space="preserve"> </w:t>
      </w:r>
    </w:p>
    <w:p w:rsidR="00896AFE" w:rsidRDefault="00896AFE" w:rsidP="00067574">
      <w:pPr>
        <w:jc w:val="both"/>
        <w:rPr>
          <w:sz w:val="28"/>
          <w:szCs w:val="28"/>
        </w:rPr>
      </w:pPr>
    </w:p>
    <w:p w:rsidR="00896AFE" w:rsidRDefault="00896AFE" w:rsidP="000675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01.01.2017 года на основании Закона Воронежской области от 01.06.2016. №81-ОЗ полномочия по созданию дорожного фонда переданы на уровень муниципального района. Дорожный фонд на 2017 год создан в размере 6829 тыс. рублей, что соответствует сумме поступлений от уплаты акцизов на дизельное топливо, моторные масла, автомобильный бензин. В 2018-2019гг. дорожный фонд планируется</w:t>
      </w:r>
      <w:r w:rsidR="003F1367">
        <w:rPr>
          <w:sz w:val="28"/>
          <w:szCs w:val="28"/>
        </w:rPr>
        <w:t xml:space="preserve"> в сумме 6646 тыс. рублей и 7248 тыс. рублей, что также соответствует</w:t>
      </w:r>
      <w:r>
        <w:rPr>
          <w:sz w:val="28"/>
          <w:szCs w:val="28"/>
        </w:rPr>
        <w:t xml:space="preserve"> </w:t>
      </w:r>
      <w:r w:rsidR="003F1367">
        <w:rPr>
          <w:sz w:val="28"/>
          <w:szCs w:val="28"/>
        </w:rPr>
        <w:t>суммам поступлений от уплаты акцизов на дизельное топливо, моторные масла, автомобильный бензин. Формирование дорожного фонда на 2017 год и плановый период 2018-2019гг. соответствует п. 5, ст.179.4 БК РФ.</w:t>
      </w:r>
    </w:p>
    <w:p w:rsidR="00067574" w:rsidRDefault="00C66042" w:rsidP="00067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1D78" w:rsidRDefault="00067574" w:rsidP="000675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4E3C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целевые программы являются одним из важнейших инструментов реализации целей и приоритетных направлений социально-экономического развития района. </w:t>
      </w:r>
      <w:r w:rsidR="00345741">
        <w:rPr>
          <w:sz w:val="28"/>
          <w:szCs w:val="28"/>
        </w:rPr>
        <w:t>В соответствии со ст. 179 Постановлением администрации Репьевского муниципального района от 30.10.2013г. №297, утвержден Порядок разработки, реализации и оценки эффективности муниципальных программ Репьевского муниципального района. Также распоряжением администрации Репьевского муниципального района от 2</w:t>
      </w:r>
      <w:r w:rsidR="0082293C">
        <w:rPr>
          <w:sz w:val="28"/>
          <w:szCs w:val="28"/>
        </w:rPr>
        <w:t>4</w:t>
      </w:r>
      <w:r w:rsidR="00345741">
        <w:rPr>
          <w:sz w:val="28"/>
          <w:szCs w:val="28"/>
        </w:rPr>
        <w:t>.</w:t>
      </w:r>
      <w:r w:rsidR="0082293C">
        <w:rPr>
          <w:sz w:val="28"/>
          <w:szCs w:val="28"/>
        </w:rPr>
        <w:t>09</w:t>
      </w:r>
      <w:r w:rsidR="00345741">
        <w:rPr>
          <w:sz w:val="28"/>
          <w:szCs w:val="28"/>
        </w:rPr>
        <w:t>.201</w:t>
      </w:r>
      <w:r w:rsidR="0082293C">
        <w:rPr>
          <w:sz w:val="28"/>
          <w:szCs w:val="28"/>
        </w:rPr>
        <w:t>5</w:t>
      </w:r>
      <w:r w:rsidR="00345741">
        <w:rPr>
          <w:sz w:val="28"/>
          <w:szCs w:val="28"/>
        </w:rPr>
        <w:t>г. №</w:t>
      </w:r>
      <w:r w:rsidR="0082293C">
        <w:rPr>
          <w:sz w:val="28"/>
          <w:szCs w:val="28"/>
        </w:rPr>
        <w:t>180</w:t>
      </w:r>
      <w:r w:rsidR="00345741">
        <w:rPr>
          <w:sz w:val="28"/>
          <w:szCs w:val="28"/>
        </w:rPr>
        <w:t>-р, утвержден Перечень муниципальных программ. В соответствии с приложением №1</w:t>
      </w:r>
      <w:r w:rsidR="00044E3C">
        <w:rPr>
          <w:sz w:val="28"/>
          <w:szCs w:val="28"/>
        </w:rPr>
        <w:t>4, №15</w:t>
      </w:r>
      <w:r w:rsidR="00345741">
        <w:rPr>
          <w:sz w:val="28"/>
          <w:szCs w:val="28"/>
        </w:rPr>
        <w:t xml:space="preserve"> утверждено распределение бюджетных ассигнований по </w:t>
      </w:r>
      <w:r w:rsidR="0082293C">
        <w:rPr>
          <w:sz w:val="28"/>
          <w:szCs w:val="28"/>
        </w:rPr>
        <w:t>целевым статьям (</w:t>
      </w:r>
      <w:r w:rsidR="00345741">
        <w:rPr>
          <w:sz w:val="28"/>
          <w:szCs w:val="28"/>
        </w:rPr>
        <w:t>муниципальным программам</w:t>
      </w:r>
      <w:r w:rsidR="0082293C">
        <w:rPr>
          <w:sz w:val="28"/>
          <w:szCs w:val="28"/>
        </w:rPr>
        <w:t>)</w:t>
      </w:r>
      <w:r w:rsidR="00345741">
        <w:rPr>
          <w:sz w:val="28"/>
          <w:szCs w:val="28"/>
        </w:rPr>
        <w:t>.</w:t>
      </w:r>
      <w:r w:rsidR="00044E3C">
        <w:rPr>
          <w:sz w:val="28"/>
          <w:szCs w:val="28"/>
        </w:rPr>
        <w:t xml:space="preserve"> Показатели бюджета по расходам соответствует показателям финансового обеспечения </w:t>
      </w:r>
      <w:r w:rsidR="00044E3C">
        <w:rPr>
          <w:sz w:val="28"/>
          <w:szCs w:val="28"/>
        </w:rPr>
        <w:lastRenderedPageBreak/>
        <w:t>программных мероприятий.</w:t>
      </w:r>
      <w:r w:rsidR="00345741">
        <w:rPr>
          <w:sz w:val="28"/>
          <w:szCs w:val="28"/>
        </w:rPr>
        <w:t xml:space="preserve"> </w:t>
      </w:r>
      <w:proofErr w:type="gramStart"/>
      <w:r w:rsidR="00345741">
        <w:rPr>
          <w:sz w:val="28"/>
          <w:szCs w:val="28"/>
        </w:rPr>
        <w:t xml:space="preserve">Ассигнования распределены по </w:t>
      </w:r>
      <w:r w:rsidR="00044E3C">
        <w:rPr>
          <w:sz w:val="28"/>
          <w:szCs w:val="28"/>
        </w:rPr>
        <w:t>двенадцати</w:t>
      </w:r>
      <w:r w:rsidR="00345741">
        <w:rPr>
          <w:sz w:val="28"/>
          <w:szCs w:val="28"/>
        </w:rPr>
        <w:t xml:space="preserve"> из муниципальны</w:t>
      </w:r>
      <w:r w:rsidR="00044E3C">
        <w:rPr>
          <w:sz w:val="28"/>
          <w:szCs w:val="28"/>
        </w:rPr>
        <w:t xml:space="preserve">м </w:t>
      </w:r>
      <w:r w:rsidR="00345741">
        <w:rPr>
          <w:sz w:val="28"/>
          <w:szCs w:val="28"/>
        </w:rPr>
        <w:t xml:space="preserve"> программ.</w:t>
      </w:r>
      <w:proofErr w:type="gramEnd"/>
      <w:r w:rsidR="00345741">
        <w:rPr>
          <w:sz w:val="28"/>
          <w:szCs w:val="28"/>
        </w:rPr>
        <w:t xml:space="preserve"> При составлении проекта бюджета в 201</w:t>
      </w:r>
      <w:r w:rsidR="00044E3C">
        <w:rPr>
          <w:sz w:val="28"/>
          <w:szCs w:val="28"/>
        </w:rPr>
        <w:t>7</w:t>
      </w:r>
      <w:r w:rsidR="00345741">
        <w:rPr>
          <w:sz w:val="28"/>
          <w:szCs w:val="28"/>
        </w:rPr>
        <w:t xml:space="preserve"> году применялся </w:t>
      </w:r>
      <w:r>
        <w:rPr>
          <w:sz w:val="28"/>
          <w:szCs w:val="28"/>
        </w:rPr>
        <w:t>прогр</w:t>
      </w:r>
      <w:r w:rsidR="00421D78">
        <w:rPr>
          <w:sz w:val="28"/>
          <w:szCs w:val="28"/>
        </w:rPr>
        <w:t>аммно-целевой метод организации деятельности. Все вышеперечисленное свидетельствует о соблюдении ст. 179 БК РФ.</w:t>
      </w:r>
    </w:p>
    <w:p w:rsidR="001C3108" w:rsidRDefault="001C3108" w:rsidP="00067574">
      <w:pPr>
        <w:jc w:val="both"/>
        <w:rPr>
          <w:sz w:val="28"/>
          <w:szCs w:val="28"/>
        </w:rPr>
      </w:pPr>
    </w:p>
    <w:p w:rsidR="001C3108" w:rsidRDefault="001C3108" w:rsidP="000675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</w:t>
      </w:r>
      <w:r w:rsidR="00044E3C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муниципальные гарантии муниципального района не предоставляются.</w:t>
      </w:r>
    </w:p>
    <w:p w:rsidR="00421D78" w:rsidRDefault="00421D78" w:rsidP="00067574">
      <w:pPr>
        <w:jc w:val="both"/>
        <w:rPr>
          <w:sz w:val="28"/>
          <w:szCs w:val="28"/>
        </w:rPr>
      </w:pPr>
    </w:p>
    <w:p w:rsidR="00067574" w:rsidRDefault="00421D78" w:rsidP="000675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Структура и содержание представленного проекта бюджета в основном соответствует Бюджетному Кодексу РФ. Документы и материалы, представленные одновременно с проектом бюджета, отвечают перечню определенному ст. 184.1 – 184.2 БК РФ.</w:t>
      </w:r>
      <w:r w:rsidR="00345741">
        <w:rPr>
          <w:sz w:val="28"/>
          <w:szCs w:val="28"/>
        </w:rPr>
        <w:t xml:space="preserve"> </w:t>
      </w:r>
    </w:p>
    <w:p w:rsidR="008B6336" w:rsidRDefault="008B6336" w:rsidP="00824911">
      <w:pPr>
        <w:ind w:firstLine="708"/>
        <w:jc w:val="both"/>
        <w:rPr>
          <w:sz w:val="28"/>
          <w:szCs w:val="28"/>
        </w:rPr>
      </w:pPr>
    </w:p>
    <w:p w:rsidR="007623F6" w:rsidRDefault="00DB426D" w:rsidP="00D37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 Репьевского муниципального района Воронежской области в целом соответствует Бюджетному Кодексу РФ и Положению «О бюджетном процессе в Репьевском муниципальном районе».</w:t>
      </w:r>
      <w:r w:rsidR="00421D78">
        <w:rPr>
          <w:sz w:val="28"/>
          <w:szCs w:val="28"/>
        </w:rPr>
        <w:t xml:space="preserve"> Контрольно-счетная палата Репьевского муниципального района</w:t>
      </w:r>
      <w:r w:rsidR="00D37812">
        <w:rPr>
          <w:sz w:val="28"/>
          <w:szCs w:val="28"/>
        </w:rPr>
        <w:t xml:space="preserve">  не усматривает причин для его отклонения.</w:t>
      </w:r>
    </w:p>
    <w:p w:rsidR="00DC1FB6" w:rsidRDefault="00DC1FB6" w:rsidP="007623F6">
      <w:pPr>
        <w:rPr>
          <w:sz w:val="28"/>
          <w:szCs w:val="28"/>
        </w:rPr>
      </w:pPr>
    </w:p>
    <w:p w:rsidR="001C3108" w:rsidRDefault="001C3108" w:rsidP="007623F6">
      <w:pPr>
        <w:rPr>
          <w:sz w:val="28"/>
          <w:szCs w:val="28"/>
        </w:rPr>
      </w:pPr>
    </w:p>
    <w:p w:rsidR="001C3108" w:rsidRDefault="001C3108" w:rsidP="007623F6">
      <w:pPr>
        <w:rPr>
          <w:sz w:val="28"/>
          <w:szCs w:val="28"/>
        </w:rPr>
      </w:pPr>
    </w:p>
    <w:p w:rsidR="001C3108" w:rsidRDefault="001C3108" w:rsidP="007623F6">
      <w:pPr>
        <w:rPr>
          <w:sz w:val="28"/>
          <w:szCs w:val="28"/>
        </w:rPr>
      </w:pPr>
    </w:p>
    <w:p w:rsidR="00DC1FB6" w:rsidRDefault="00DC1FB6" w:rsidP="007623F6">
      <w:pPr>
        <w:rPr>
          <w:sz w:val="28"/>
          <w:szCs w:val="28"/>
        </w:rPr>
      </w:pPr>
    </w:p>
    <w:p w:rsidR="00ED0B83" w:rsidRDefault="00ED0B83" w:rsidP="007623F6">
      <w:pPr>
        <w:rPr>
          <w:sz w:val="28"/>
          <w:szCs w:val="28"/>
        </w:rPr>
      </w:pPr>
      <w:r>
        <w:rPr>
          <w:sz w:val="28"/>
          <w:szCs w:val="28"/>
        </w:rPr>
        <w:t xml:space="preserve">Инспектор </w:t>
      </w:r>
    </w:p>
    <w:p w:rsidR="00ED0B83" w:rsidRDefault="00ED0B83" w:rsidP="007623F6">
      <w:pPr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  </w:t>
      </w:r>
    </w:p>
    <w:p w:rsidR="007623F6" w:rsidRDefault="00ED0B83" w:rsidP="00D37812">
      <w:r>
        <w:rPr>
          <w:sz w:val="28"/>
          <w:szCs w:val="28"/>
        </w:rPr>
        <w:t xml:space="preserve">Репьевского муниципального района                                            </w:t>
      </w:r>
      <w:r w:rsidR="006A6BBA">
        <w:rPr>
          <w:sz w:val="28"/>
          <w:szCs w:val="28"/>
        </w:rPr>
        <w:t xml:space="preserve">С.В. </w:t>
      </w:r>
      <w:r w:rsidR="00DC1FB6">
        <w:rPr>
          <w:sz w:val="28"/>
          <w:szCs w:val="28"/>
        </w:rPr>
        <w:t>Акульшина</w:t>
      </w:r>
      <w:r w:rsidR="003A1B38">
        <w:rPr>
          <w:sz w:val="28"/>
          <w:szCs w:val="28"/>
        </w:rPr>
        <w:t xml:space="preserve">     </w:t>
      </w:r>
    </w:p>
    <w:sectPr w:rsidR="007623F6" w:rsidSect="002D7141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623F6"/>
    <w:rsid w:val="00006276"/>
    <w:rsid w:val="0003124F"/>
    <w:rsid w:val="00037DFD"/>
    <w:rsid w:val="00044E3C"/>
    <w:rsid w:val="000573E9"/>
    <w:rsid w:val="000649E7"/>
    <w:rsid w:val="00067574"/>
    <w:rsid w:val="00067F56"/>
    <w:rsid w:val="00097085"/>
    <w:rsid w:val="000C0408"/>
    <w:rsid w:val="000D19CD"/>
    <w:rsid w:val="000E339F"/>
    <w:rsid w:val="0011271E"/>
    <w:rsid w:val="00120780"/>
    <w:rsid w:val="00127E72"/>
    <w:rsid w:val="00155251"/>
    <w:rsid w:val="0016543B"/>
    <w:rsid w:val="00181BE7"/>
    <w:rsid w:val="00185852"/>
    <w:rsid w:val="0018648D"/>
    <w:rsid w:val="001C0131"/>
    <w:rsid w:val="001C3108"/>
    <w:rsid w:val="001E350F"/>
    <w:rsid w:val="001E3CFF"/>
    <w:rsid w:val="00207020"/>
    <w:rsid w:val="0021314F"/>
    <w:rsid w:val="00217EAB"/>
    <w:rsid w:val="00221C34"/>
    <w:rsid w:val="0022311A"/>
    <w:rsid w:val="0023337D"/>
    <w:rsid w:val="00252FA1"/>
    <w:rsid w:val="00253DEE"/>
    <w:rsid w:val="00263722"/>
    <w:rsid w:val="002A2A65"/>
    <w:rsid w:val="002D2976"/>
    <w:rsid w:val="002D7141"/>
    <w:rsid w:val="002E232F"/>
    <w:rsid w:val="002F49E1"/>
    <w:rsid w:val="002F73E6"/>
    <w:rsid w:val="00300943"/>
    <w:rsid w:val="00306F78"/>
    <w:rsid w:val="0032531E"/>
    <w:rsid w:val="00331B99"/>
    <w:rsid w:val="003351FD"/>
    <w:rsid w:val="00341101"/>
    <w:rsid w:val="00345741"/>
    <w:rsid w:val="00345F18"/>
    <w:rsid w:val="003461DA"/>
    <w:rsid w:val="0037098D"/>
    <w:rsid w:val="003A1B38"/>
    <w:rsid w:val="003C037B"/>
    <w:rsid w:val="003F1367"/>
    <w:rsid w:val="004167DB"/>
    <w:rsid w:val="00416A6E"/>
    <w:rsid w:val="00421D78"/>
    <w:rsid w:val="004314FA"/>
    <w:rsid w:val="00432824"/>
    <w:rsid w:val="0043792E"/>
    <w:rsid w:val="0045619C"/>
    <w:rsid w:val="00467F91"/>
    <w:rsid w:val="0047585E"/>
    <w:rsid w:val="00481921"/>
    <w:rsid w:val="00494F3D"/>
    <w:rsid w:val="004A14E6"/>
    <w:rsid w:val="004A201F"/>
    <w:rsid w:val="004B3A39"/>
    <w:rsid w:val="004E16EB"/>
    <w:rsid w:val="004F01A7"/>
    <w:rsid w:val="00514706"/>
    <w:rsid w:val="00515BF0"/>
    <w:rsid w:val="005431CA"/>
    <w:rsid w:val="00570DE3"/>
    <w:rsid w:val="00574593"/>
    <w:rsid w:val="005841C2"/>
    <w:rsid w:val="00584E6B"/>
    <w:rsid w:val="00590A16"/>
    <w:rsid w:val="00595E9C"/>
    <w:rsid w:val="00596B07"/>
    <w:rsid w:val="005A716B"/>
    <w:rsid w:val="005C00C7"/>
    <w:rsid w:val="005C6600"/>
    <w:rsid w:val="005D0B8E"/>
    <w:rsid w:val="005D36D8"/>
    <w:rsid w:val="005F5F4F"/>
    <w:rsid w:val="0061275B"/>
    <w:rsid w:val="00612F80"/>
    <w:rsid w:val="00613C9F"/>
    <w:rsid w:val="0061469D"/>
    <w:rsid w:val="006748AD"/>
    <w:rsid w:val="0068571B"/>
    <w:rsid w:val="00686E71"/>
    <w:rsid w:val="006A033A"/>
    <w:rsid w:val="006A6BBA"/>
    <w:rsid w:val="006A7651"/>
    <w:rsid w:val="006D4EC8"/>
    <w:rsid w:val="006E49D6"/>
    <w:rsid w:val="00735299"/>
    <w:rsid w:val="00742E4E"/>
    <w:rsid w:val="007612A9"/>
    <w:rsid w:val="007623F6"/>
    <w:rsid w:val="00776BF9"/>
    <w:rsid w:val="00797913"/>
    <w:rsid w:val="007B12F3"/>
    <w:rsid w:val="007B63C1"/>
    <w:rsid w:val="007C465B"/>
    <w:rsid w:val="007E7EAD"/>
    <w:rsid w:val="008142E7"/>
    <w:rsid w:val="0082293C"/>
    <w:rsid w:val="00824911"/>
    <w:rsid w:val="00835423"/>
    <w:rsid w:val="00846094"/>
    <w:rsid w:val="008521D1"/>
    <w:rsid w:val="008554BA"/>
    <w:rsid w:val="008579FB"/>
    <w:rsid w:val="008965ED"/>
    <w:rsid w:val="00896AFE"/>
    <w:rsid w:val="00897205"/>
    <w:rsid w:val="008A5885"/>
    <w:rsid w:val="008B6336"/>
    <w:rsid w:val="008B65BA"/>
    <w:rsid w:val="008B6E13"/>
    <w:rsid w:val="008C6105"/>
    <w:rsid w:val="008C751D"/>
    <w:rsid w:val="008D5754"/>
    <w:rsid w:val="008D7CCF"/>
    <w:rsid w:val="008E3BDB"/>
    <w:rsid w:val="008E3D56"/>
    <w:rsid w:val="008F06AB"/>
    <w:rsid w:val="008F14C9"/>
    <w:rsid w:val="008F6FB9"/>
    <w:rsid w:val="009153DE"/>
    <w:rsid w:val="009160D3"/>
    <w:rsid w:val="009204F7"/>
    <w:rsid w:val="00923503"/>
    <w:rsid w:val="009315D9"/>
    <w:rsid w:val="00936037"/>
    <w:rsid w:val="0094496E"/>
    <w:rsid w:val="00952000"/>
    <w:rsid w:val="00957D61"/>
    <w:rsid w:val="00994ACD"/>
    <w:rsid w:val="009B4284"/>
    <w:rsid w:val="009C0F89"/>
    <w:rsid w:val="009F2322"/>
    <w:rsid w:val="00A13A2C"/>
    <w:rsid w:val="00A14A07"/>
    <w:rsid w:val="00A32D68"/>
    <w:rsid w:val="00A41A60"/>
    <w:rsid w:val="00A56758"/>
    <w:rsid w:val="00A577BF"/>
    <w:rsid w:val="00A61474"/>
    <w:rsid w:val="00AA2F1F"/>
    <w:rsid w:val="00AC1F22"/>
    <w:rsid w:val="00AD6D63"/>
    <w:rsid w:val="00AD7617"/>
    <w:rsid w:val="00AE5552"/>
    <w:rsid w:val="00AF30A8"/>
    <w:rsid w:val="00B04157"/>
    <w:rsid w:val="00B05F29"/>
    <w:rsid w:val="00B06D9F"/>
    <w:rsid w:val="00B06EE5"/>
    <w:rsid w:val="00B10A16"/>
    <w:rsid w:val="00B15E30"/>
    <w:rsid w:val="00B206BF"/>
    <w:rsid w:val="00B85F12"/>
    <w:rsid w:val="00B94328"/>
    <w:rsid w:val="00BC17AC"/>
    <w:rsid w:val="00BD2DDE"/>
    <w:rsid w:val="00BF5F1D"/>
    <w:rsid w:val="00C03E18"/>
    <w:rsid w:val="00C04B49"/>
    <w:rsid w:val="00C61CD1"/>
    <w:rsid w:val="00C66042"/>
    <w:rsid w:val="00C8430A"/>
    <w:rsid w:val="00CA0797"/>
    <w:rsid w:val="00CA47A7"/>
    <w:rsid w:val="00CA5D44"/>
    <w:rsid w:val="00CC2A7D"/>
    <w:rsid w:val="00CD6F2F"/>
    <w:rsid w:val="00CF63DE"/>
    <w:rsid w:val="00D162A4"/>
    <w:rsid w:val="00D21DCC"/>
    <w:rsid w:val="00D254C6"/>
    <w:rsid w:val="00D37812"/>
    <w:rsid w:val="00D37951"/>
    <w:rsid w:val="00D4043B"/>
    <w:rsid w:val="00D534FC"/>
    <w:rsid w:val="00D53E71"/>
    <w:rsid w:val="00D95CDA"/>
    <w:rsid w:val="00DB426D"/>
    <w:rsid w:val="00DC1FB6"/>
    <w:rsid w:val="00DC50F3"/>
    <w:rsid w:val="00DD0A16"/>
    <w:rsid w:val="00DD2028"/>
    <w:rsid w:val="00DE171F"/>
    <w:rsid w:val="00DE5A41"/>
    <w:rsid w:val="00DE7D86"/>
    <w:rsid w:val="00DF1C81"/>
    <w:rsid w:val="00DF648A"/>
    <w:rsid w:val="00E3008F"/>
    <w:rsid w:val="00E44521"/>
    <w:rsid w:val="00E72AFD"/>
    <w:rsid w:val="00E938E8"/>
    <w:rsid w:val="00E9528F"/>
    <w:rsid w:val="00ED0B83"/>
    <w:rsid w:val="00F028F7"/>
    <w:rsid w:val="00F03E5B"/>
    <w:rsid w:val="00F1709F"/>
    <w:rsid w:val="00F17BEA"/>
    <w:rsid w:val="00F20CE7"/>
    <w:rsid w:val="00F2738B"/>
    <w:rsid w:val="00F27603"/>
    <w:rsid w:val="00F315A9"/>
    <w:rsid w:val="00F34060"/>
    <w:rsid w:val="00F36451"/>
    <w:rsid w:val="00F37D96"/>
    <w:rsid w:val="00F56AA9"/>
    <w:rsid w:val="00F6257D"/>
    <w:rsid w:val="00F804A9"/>
    <w:rsid w:val="00F854E7"/>
    <w:rsid w:val="00F91097"/>
    <w:rsid w:val="00FA04AE"/>
    <w:rsid w:val="00FA68EB"/>
    <w:rsid w:val="00FE28B8"/>
    <w:rsid w:val="00FE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3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6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584E6B"/>
    <w:rPr>
      <w:rFonts w:ascii="Calibri" w:eastAsia="Times New Roman" w:hAnsi="Calibri" w:cs="Times New Roman"/>
      <w:sz w:val="22"/>
      <w:szCs w:val="22"/>
    </w:rPr>
  </w:style>
  <w:style w:type="paragraph" w:styleId="a5">
    <w:name w:val="Balloon Text"/>
    <w:basedOn w:val="a"/>
    <w:link w:val="a6"/>
    <w:rsid w:val="00B943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3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5E30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caption"/>
    <w:basedOn w:val="a"/>
    <w:next w:val="a"/>
    <w:unhideWhenUsed/>
    <w:qFormat/>
    <w:rsid w:val="004314FA"/>
    <w:pPr>
      <w:spacing w:after="200"/>
    </w:pPr>
    <w:rPr>
      <w:b/>
      <w:bCs/>
      <w:color w:val="4F81BD" w:themeColor="accent1"/>
      <w:sz w:val="18"/>
      <w:szCs w:val="18"/>
    </w:rPr>
  </w:style>
  <w:style w:type="table" w:styleId="a8">
    <w:name w:val="Table Grid"/>
    <w:basedOn w:val="a1"/>
    <w:rsid w:val="00F80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8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7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6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649F8A99EDA6A4C9C2BC4B5758063488174C36737D5B851C383E7857U8u5N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валовая продукция сельского хозяйства (в ценах реализации 2015 года)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2958667</c:v>
                </c:pt>
                <c:pt idx="1">
                  <c:v>2721973</c:v>
                </c:pt>
                <c:pt idx="2">
                  <c:v>2748517</c:v>
                </c:pt>
                <c:pt idx="3">
                  <c:v>2772507</c:v>
                </c:pt>
                <c:pt idx="4">
                  <c:v>2806982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валовая продукция в действующих ценах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2958667</c:v>
                </c:pt>
                <c:pt idx="1">
                  <c:v>2847184</c:v>
                </c:pt>
                <c:pt idx="2">
                  <c:v>3041695</c:v>
                </c:pt>
                <c:pt idx="3">
                  <c:v>3215519</c:v>
                </c:pt>
                <c:pt idx="4">
                  <c:v>3385724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прибыль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292213</c:v>
                </c:pt>
                <c:pt idx="1">
                  <c:v>68568</c:v>
                </c:pt>
                <c:pt idx="2">
                  <c:v>78167</c:v>
                </c:pt>
                <c:pt idx="3">
                  <c:v>85983</c:v>
                </c:pt>
                <c:pt idx="4">
                  <c:v>93721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053376"/>
        <c:axId val="64893696"/>
      </c:lineChart>
      <c:catAx>
        <c:axId val="62053376"/>
        <c:scaling>
          <c:orientation val="minMax"/>
        </c:scaling>
        <c:delete val="0"/>
        <c:axPos val="b"/>
        <c:majorTickMark val="out"/>
        <c:minorTickMark val="none"/>
        <c:tickLblPos val="nextTo"/>
        <c:crossAx val="64893696"/>
        <c:crosses val="autoZero"/>
        <c:auto val="1"/>
        <c:lblAlgn val="ctr"/>
        <c:lblOffset val="100"/>
        <c:noMultiLvlLbl val="0"/>
      </c:catAx>
      <c:valAx>
        <c:axId val="64893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053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оборот розничной торговли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58035</c:v>
                </c:pt>
                <c:pt idx="1">
                  <c:v>62917</c:v>
                </c:pt>
                <c:pt idx="2">
                  <c:v>67366</c:v>
                </c:pt>
                <c:pt idx="3">
                  <c:v>73265</c:v>
                </c:pt>
                <c:pt idx="4">
                  <c:v>78938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оборот общественного питания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23033</c:v>
                </c:pt>
                <c:pt idx="1">
                  <c:v>24092</c:v>
                </c:pt>
                <c:pt idx="2">
                  <c:v>25699</c:v>
                </c:pt>
                <c:pt idx="3">
                  <c:v>27634</c:v>
                </c:pt>
                <c:pt idx="4">
                  <c:v>29630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платные услуги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69784</c:v>
                </c:pt>
                <c:pt idx="1">
                  <c:v>75931</c:v>
                </c:pt>
                <c:pt idx="2">
                  <c:v>81864</c:v>
                </c:pt>
                <c:pt idx="3">
                  <c:v>88620</c:v>
                </c:pt>
                <c:pt idx="4">
                  <c:v>96217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средняя заработная плата в розничной торговле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10521</c:v>
                </c:pt>
                <c:pt idx="1">
                  <c:v>10942</c:v>
                </c:pt>
                <c:pt idx="2">
                  <c:v>11489</c:v>
                </c:pt>
                <c:pt idx="3">
                  <c:v>12006</c:v>
                </c:pt>
                <c:pt idx="4">
                  <c:v>12726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средняя заработная плата в общественном питании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8378</c:v>
                </c:pt>
                <c:pt idx="1">
                  <c:v>8713</c:v>
                </c:pt>
                <c:pt idx="2">
                  <c:v>9149</c:v>
                </c:pt>
                <c:pt idx="3">
                  <c:v>9561</c:v>
                </c:pt>
                <c:pt idx="4">
                  <c:v>10135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средняя заработная плата в сфере платных услуг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8458</c:v>
                </c:pt>
                <c:pt idx="1">
                  <c:v>8796</c:v>
                </c:pt>
                <c:pt idx="2">
                  <c:v>9236</c:v>
                </c:pt>
                <c:pt idx="3">
                  <c:v>9652</c:v>
                </c:pt>
                <c:pt idx="4">
                  <c:v>10231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280448"/>
        <c:axId val="66298624"/>
      </c:lineChart>
      <c:catAx>
        <c:axId val="66280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6298624"/>
        <c:crosses val="autoZero"/>
        <c:auto val="1"/>
        <c:lblAlgn val="ctr"/>
        <c:lblOffset val="100"/>
        <c:noMultiLvlLbl val="0"/>
      </c:catAx>
      <c:valAx>
        <c:axId val="662986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662804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28024</c:v>
                </c:pt>
                <c:pt idx="1">
                  <c:v>20533</c:v>
                </c:pt>
                <c:pt idx="2">
                  <c:v>10387</c:v>
                </c:pt>
                <c:pt idx="3">
                  <c:v>10763</c:v>
                </c:pt>
                <c:pt idx="4">
                  <c:v>11105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налоговые доходы (без налога на прибыль)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127586</c:v>
                </c:pt>
                <c:pt idx="1">
                  <c:v>135615</c:v>
                </c:pt>
                <c:pt idx="2">
                  <c:v>142686</c:v>
                </c:pt>
                <c:pt idx="3">
                  <c:v>148876</c:v>
                </c:pt>
                <c:pt idx="4">
                  <c:v>155688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337024"/>
        <c:axId val="66347008"/>
        <c:axId val="0"/>
      </c:bar3DChart>
      <c:catAx>
        <c:axId val="66337024"/>
        <c:scaling>
          <c:orientation val="minMax"/>
        </c:scaling>
        <c:delete val="0"/>
        <c:axPos val="b"/>
        <c:majorTickMark val="out"/>
        <c:minorTickMark val="none"/>
        <c:tickLblPos val="nextTo"/>
        <c:crossAx val="66347008"/>
        <c:crosses val="autoZero"/>
        <c:auto val="1"/>
        <c:lblAlgn val="ctr"/>
        <c:lblOffset val="100"/>
        <c:noMultiLvlLbl val="0"/>
      </c:catAx>
      <c:valAx>
        <c:axId val="66347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337024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2017по данным быджета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налог на доходы, прибыль</c:v>
                </c:pt>
                <c:pt idx="1">
                  <c:v>налоги на товары</c:v>
                </c:pt>
                <c:pt idx="2">
                  <c:v>налоги на совокупный доход</c:v>
                </c:pt>
                <c:pt idx="3">
                  <c:v>гос. пошлина</c:v>
                </c:pt>
                <c:pt idx="4">
                  <c:v>неналоговые доходы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30.4</c:v>
                </c:pt>
                <c:pt idx="1">
                  <c:v>6.8</c:v>
                </c:pt>
                <c:pt idx="2">
                  <c:v>4.3</c:v>
                </c:pt>
                <c:pt idx="3">
                  <c:v>0.4</c:v>
                </c:pt>
                <c:pt idx="4">
                  <c:v>8.6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2017по данным с/э прогноза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налог на доходы, прибыль</c:v>
                </c:pt>
                <c:pt idx="1">
                  <c:v>налоги на товары</c:v>
                </c:pt>
                <c:pt idx="2">
                  <c:v>налоги на совокупный доход</c:v>
                </c:pt>
                <c:pt idx="3">
                  <c:v>гос. пошлина</c:v>
                </c:pt>
                <c:pt idx="4">
                  <c:v>неналоговые доходы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29.6</c:v>
                </c:pt>
                <c:pt idx="1">
                  <c:v>6</c:v>
                </c:pt>
                <c:pt idx="2">
                  <c:v>5.2</c:v>
                </c:pt>
                <c:pt idx="3">
                  <c:v>0.4</c:v>
                </c:pt>
                <c:pt idx="4">
                  <c:v>10.4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2018бюджет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налог на доходы, прибыль</c:v>
                </c:pt>
                <c:pt idx="1">
                  <c:v>налоги на товары</c:v>
                </c:pt>
                <c:pt idx="2">
                  <c:v>налоги на совокупный доход</c:v>
                </c:pt>
                <c:pt idx="3">
                  <c:v>гос. пошлина</c:v>
                </c:pt>
                <c:pt idx="4">
                  <c:v>неналоговые доходы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32</c:v>
                </c:pt>
                <c:pt idx="1">
                  <c:v>6.6</c:v>
                </c:pt>
                <c:pt idx="2">
                  <c:v>4.4000000000000004</c:v>
                </c:pt>
                <c:pt idx="3">
                  <c:v>0.5</c:v>
                </c:pt>
                <c:pt idx="4">
                  <c:v>8.9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2018с/э прогноз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налог на доходы, прибыль</c:v>
                </c:pt>
                <c:pt idx="1">
                  <c:v>налоги на товары</c:v>
                </c:pt>
                <c:pt idx="2">
                  <c:v>налоги на совокупный доход</c:v>
                </c:pt>
                <c:pt idx="3">
                  <c:v>гос. пошлина</c:v>
                </c:pt>
                <c:pt idx="4">
                  <c:v>неналоговые доходы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30.9</c:v>
                </c:pt>
                <c:pt idx="1">
                  <c:v>6.2</c:v>
                </c:pt>
                <c:pt idx="2">
                  <c:v>5.4</c:v>
                </c:pt>
                <c:pt idx="3">
                  <c:v>0.5</c:v>
                </c:pt>
                <c:pt idx="4">
                  <c:v>10.7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2019бюджет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налог на доходы, прибыль</c:v>
                </c:pt>
                <c:pt idx="1">
                  <c:v>налоги на товары</c:v>
                </c:pt>
                <c:pt idx="2">
                  <c:v>налоги на совокупный доход</c:v>
                </c:pt>
                <c:pt idx="3">
                  <c:v>гос. пошлина</c:v>
                </c:pt>
                <c:pt idx="4">
                  <c:v>неналоговые доходы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33.6</c:v>
                </c:pt>
                <c:pt idx="1">
                  <c:v>7.2</c:v>
                </c:pt>
                <c:pt idx="2">
                  <c:v>4.5</c:v>
                </c:pt>
                <c:pt idx="3">
                  <c:v>0.5</c:v>
                </c:pt>
                <c:pt idx="4">
                  <c:v>9.1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2019прогноз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налог на доходы, прибыль</c:v>
                </c:pt>
                <c:pt idx="1">
                  <c:v>налоги на товары</c:v>
                </c:pt>
                <c:pt idx="2">
                  <c:v>налоги на совокупный доход</c:v>
                </c:pt>
                <c:pt idx="3">
                  <c:v>гос. пошлина</c:v>
                </c:pt>
                <c:pt idx="4">
                  <c:v>неналоговые доходы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33.299999999999997</c:v>
                </c:pt>
                <c:pt idx="1">
                  <c:v>6.3</c:v>
                </c:pt>
                <c:pt idx="2">
                  <c:v>5.4</c:v>
                </c:pt>
                <c:pt idx="3">
                  <c:v>0.5</c:v>
                </c:pt>
                <c:pt idx="4">
                  <c:v>11.1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009984"/>
        <c:axId val="72011776"/>
        <c:axId val="0"/>
      </c:bar3DChart>
      <c:catAx>
        <c:axId val="72009984"/>
        <c:scaling>
          <c:orientation val="minMax"/>
        </c:scaling>
        <c:delete val="0"/>
        <c:axPos val="b"/>
        <c:majorTickMark val="out"/>
        <c:minorTickMark val="none"/>
        <c:tickLblPos val="nextTo"/>
        <c:crossAx val="72011776"/>
        <c:crosses val="autoZero"/>
        <c:auto val="1"/>
        <c:lblAlgn val="ctr"/>
        <c:lblOffset val="100"/>
        <c:noMultiLvlLbl val="0"/>
      </c:catAx>
      <c:valAx>
        <c:axId val="72011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009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доходы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50.7</c:v>
                </c:pt>
                <c:pt idx="1">
                  <c:v>52.5</c:v>
                </c:pt>
                <c:pt idx="2">
                  <c:v>55.1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229.6</c:v>
                </c:pt>
                <c:pt idx="1">
                  <c:v>126.3</c:v>
                </c:pt>
                <c:pt idx="2">
                  <c:v>131.1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704960"/>
        <c:axId val="71706496"/>
      </c:barChart>
      <c:catAx>
        <c:axId val="71704960"/>
        <c:scaling>
          <c:orientation val="minMax"/>
        </c:scaling>
        <c:delete val="0"/>
        <c:axPos val="b"/>
        <c:majorTickMark val="out"/>
        <c:minorTickMark val="none"/>
        <c:tickLblPos val="nextTo"/>
        <c:crossAx val="71706496"/>
        <c:crosses val="autoZero"/>
        <c:auto val="1"/>
        <c:lblAlgn val="ctr"/>
        <c:lblOffset val="100"/>
        <c:noMultiLvlLbl val="0"/>
      </c:catAx>
      <c:valAx>
        <c:axId val="71706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704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налоги на прибыль, доходы</c:v>
                </c:pt>
                <c:pt idx="1">
                  <c:v>налоги на товары</c:v>
                </c:pt>
                <c:pt idx="2">
                  <c:v>налоги на совокупный доход</c:v>
                </c:pt>
                <c:pt idx="3">
                  <c:v>гос. пошлина</c:v>
                </c:pt>
                <c:pt idx="4">
                  <c:v>доходы от использования имущества</c:v>
                </c:pt>
                <c:pt idx="5">
                  <c:v>платежи при пользовании природными ресурсами</c:v>
                </c:pt>
                <c:pt idx="6">
                  <c:v>доходы от платных услуг</c:v>
                </c:pt>
                <c:pt idx="7">
                  <c:v>доходы от продажи активов</c:v>
                </c:pt>
                <c:pt idx="8">
                  <c:v>штрафы, санкции</c:v>
                </c:pt>
                <c:pt idx="9">
                  <c:v>прочие неналоговые доходы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30.4</c:v>
                </c:pt>
                <c:pt idx="1">
                  <c:v>6.8</c:v>
                </c:pt>
                <c:pt idx="2">
                  <c:v>4.3</c:v>
                </c:pt>
                <c:pt idx="3">
                  <c:v>0.4</c:v>
                </c:pt>
                <c:pt idx="4">
                  <c:v>2.6</c:v>
                </c:pt>
                <c:pt idx="5">
                  <c:v>0.1</c:v>
                </c:pt>
                <c:pt idx="6">
                  <c:v>2.7</c:v>
                </c:pt>
                <c:pt idx="7">
                  <c:v>0.1</c:v>
                </c:pt>
                <c:pt idx="8">
                  <c:v>0.8</c:v>
                </c:pt>
                <c:pt idx="9">
                  <c:v>2.1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налоги на прибыль, доходы</c:v>
                </c:pt>
                <c:pt idx="1">
                  <c:v>налоги на товары</c:v>
                </c:pt>
                <c:pt idx="2">
                  <c:v>налоги на совокупный доход</c:v>
                </c:pt>
                <c:pt idx="3">
                  <c:v>гос. пошлина</c:v>
                </c:pt>
                <c:pt idx="4">
                  <c:v>доходы от использования имущества</c:v>
                </c:pt>
                <c:pt idx="5">
                  <c:v>платежи при пользовании природными ресурсами</c:v>
                </c:pt>
                <c:pt idx="6">
                  <c:v>доходы от платных услуг</c:v>
                </c:pt>
                <c:pt idx="7">
                  <c:v>доходы от продажи активов</c:v>
                </c:pt>
                <c:pt idx="8">
                  <c:v>штрафы, санкции</c:v>
                </c:pt>
                <c:pt idx="9">
                  <c:v>прочие неналоговые доходы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32</c:v>
                </c:pt>
                <c:pt idx="1">
                  <c:v>6.6</c:v>
                </c:pt>
                <c:pt idx="2">
                  <c:v>4.4000000000000004</c:v>
                </c:pt>
                <c:pt idx="3">
                  <c:v>0.5</c:v>
                </c:pt>
                <c:pt idx="4">
                  <c:v>2.6</c:v>
                </c:pt>
                <c:pt idx="5">
                  <c:v>0.2</c:v>
                </c:pt>
                <c:pt idx="6">
                  <c:v>2.8</c:v>
                </c:pt>
                <c:pt idx="7">
                  <c:v>0.1</c:v>
                </c:pt>
                <c:pt idx="8">
                  <c:v>0.8</c:v>
                </c:pt>
                <c:pt idx="9">
                  <c:v>2.2000000000000002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налоги на прибыль, доходы</c:v>
                </c:pt>
                <c:pt idx="1">
                  <c:v>налоги на товары</c:v>
                </c:pt>
                <c:pt idx="2">
                  <c:v>налоги на совокупный доход</c:v>
                </c:pt>
                <c:pt idx="3">
                  <c:v>гос. пошлина</c:v>
                </c:pt>
                <c:pt idx="4">
                  <c:v>доходы от использования имущества</c:v>
                </c:pt>
                <c:pt idx="5">
                  <c:v>платежи при пользовании природными ресурсами</c:v>
                </c:pt>
                <c:pt idx="6">
                  <c:v>доходы от платных услуг</c:v>
                </c:pt>
                <c:pt idx="7">
                  <c:v>доходы от продажи активов</c:v>
                </c:pt>
                <c:pt idx="8">
                  <c:v>штрафы, санкции</c:v>
                </c:pt>
                <c:pt idx="9">
                  <c:v>прочие неналоговые доходы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33.6</c:v>
                </c:pt>
                <c:pt idx="1">
                  <c:v>7.2</c:v>
                </c:pt>
                <c:pt idx="2">
                  <c:v>4.5</c:v>
                </c:pt>
                <c:pt idx="3">
                  <c:v>0.5</c:v>
                </c:pt>
                <c:pt idx="4">
                  <c:v>2.6</c:v>
                </c:pt>
                <c:pt idx="5">
                  <c:v>0.2</c:v>
                </c:pt>
                <c:pt idx="6">
                  <c:v>3</c:v>
                </c:pt>
                <c:pt idx="7">
                  <c:v>0.1</c:v>
                </c:pt>
                <c:pt idx="8">
                  <c:v>0.8</c:v>
                </c:pt>
                <c:pt idx="9">
                  <c:v>2.2999999999999998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6392064"/>
        <c:axId val="66393600"/>
        <c:axId val="0"/>
      </c:bar3DChart>
      <c:catAx>
        <c:axId val="66392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6393600"/>
        <c:crosses val="autoZero"/>
        <c:auto val="1"/>
        <c:lblAlgn val="ctr"/>
        <c:lblOffset val="100"/>
        <c:noMultiLvlLbl val="0"/>
      </c:catAx>
      <c:valAx>
        <c:axId val="66393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392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доходы бюджета Репьевского района на 2016 год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налоги на прибыль, доходы</c:v>
                </c:pt>
                <c:pt idx="1">
                  <c:v>налоги на товары</c:v>
                </c:pt>
                <c:pt idx="2">
                  <c:v>налоги на совокупный доход</c:v>
                </c:pt>
                <c:pt idx="3">
                  <c:v>доходы от использования им-ва находящегося в гос. и мун-ой собственности</c:v>
                </c:pt>
                <c:pt idx="4">
                  <c:v>прочие неналоговые доходы</c:v>
                </c:pt>
                <c:pt idx="5">
                  <c:v>доходы от оказания платных услуг и комп-ии затрат государства</c:v>
                </c:pt>
                <c:pt idx="6">
                  <c:v>штрафы, санкции, возмещение ущерба</c:v>
                </c:pt>
                <c:pt idx="7">
                  <c:v>доходы от продажи мат. И немат. Активов</c:v>
                </c:pt>
                <c:pt idx="8">
                  <c:v>гос. пошлина</c:v>
                </c:pt>
                <c:pt idx="9">
                  <c:v>платежи при пользовании природными ресурсами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 formatCode="0">
                  <c:v>29452</c:v>
                </c:pt>
                <c:pt idx="2" formatCode="0">
                  <c:v>4182</c:v>
                </c:pt>
                <c:pt idx="3" formatCode="0">
                  <c:v>3348</c:v>
                </c:pt>
                <c:pt idx="4" formatCode="0">
                  <c:v>3105</c:v>
                </c:pt>
                <c:pt idx="5" formatCode="0">
                  <c:v>2556</c:v>
                </c:pt>
                <c:pt idx="6" formatCode="0">
                  <c:v>801</c:v>
                </c:pt>
                <c:pt idx="7" formatCode="0">
                  <c:v>10187</c:v>
                </c:pt>
                <c:pt idx="8" formatCode="0">
                  <c:v>446</c:v>
                </c:pt>
                <c:pt idx="9" formatCode="0">
                  <c:v>186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собственные доходы бюджета Репьевского района на 2017 год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налоги на прибыль, доходы</c:v>
                </c:pt>
                <c:pt idx="1">
                  <c:v>налоги на товары</c:v>
                </c:pt>
                <c:pt idx="2">
                  <c:v>налоги на совокупный доход</c:v>
                </c:pt>
                <c:pt idx="3">
                  <c:v>доходы от использования им-ва находящегося в гос. и мун-ой собственности</c:v>
                </c:pt>
                <c:pt idx="4">
                  <c:v>прочие неналоговые доходы</c:v>
                </c:pt>
                <c:pt idx="5">
                  <c:v>доходы от оказания платных услуг и комп-ии затрат государства</c:v>
                </c:pt>
                <c:pt idx="6">
                  <c:v>штрафы, санкции, возмещение ущерба</c:v>
                </c:pt>
                <c:pt idx="7">
                  <c:v>доходы от продажи мат. И немат. Активов</c:v>
                </c:pt>
                <c:pt idx="8">
                  <c:v>гос. пошлина</c:v>
                </c:pt>
                <c:pt idx="9">
                  <c:v>платежи при пользовании природными ресурсами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 formatCode="0">
                  <c:v>30483</c:v>
                </c:pt>
                <c:pt idx="1">
                  <c:v>6829</c:v>
                </c:pt>
                <c:pt idx="2" formatCode="0">
                  <c:v>4304</c:v>
                </c:pt>
                <c:pt idx="3" formatCode="0">
                  <c:v>2628</c:v>
                </c:pt>
                <c:pt idx="4" formatCode="0">
                  <c:v>2146</c:v>
                </c:pt>
                <c:pt idx="5" formatCode="0">
                  <c:v>2749</c:v>
                </c:pt>
                <c:pt idx="6" formatCode="0">
                  <c:v>808</c:v>
                </c:pt>
                <c:pt idx="7" formatCode="0">
                  <c:v>110</c:v>
                </c:pt>
                <c:pt idx="8" formatCode="0">
                  <c:v>486</c:v>
                </c:pt>
                <c:pt idx="9" formatCode="0">
                  <c:v>191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414464"/>
        <c:axId val="66416000"/>
      </c:lineChart>
      <c:catAx>
        <c:axId val="66414464"/>
        <c:scaling>
          <c:orientation val="minMax"/>
        </c:scaling>
        <c:delete val="0"/>
        <c:axPos val="b"/>
        <c:majorTickMark val="out"/>
        <c:minorTickMark val="none"/>
        <c:tickLblPos val="nextTo"/>
        <c:crossAx val="66416000"/>
        <c:crosses val="autoZero"/>
        <c:auto val="1"/>
        <c:lblAlgn val="ctr"/>
        <c:lblOffset val="100"/>
        <c:noMultiLvlLbl val="0"/>
      </c:catAx>
      <c:valAx>
        <c:axId val="66416000"/>
        <c:scaling>
          <c:orientation val="minMax"/>
        </c:scaling>
        <c:delete val="1"/>
        <c:axPos val="l"/>
        <c:majorGridlines/>
        <c:numFmt formatCode="0" sourceLinked="1"/>
        <c:majorTickMark val="out"/>
        <c:minorTickMark val="none"/>
        <c:tickLblPos val="nextTo"/>
        <c:crossAx val="66414464"/>
        <c:crosses val="autoZero"/>
        <c:crossBetween val="between"/>
      </c:valAx>
    </c:plotArea>
    <c:legend>
      <c:legendPos val="b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503189705453484"/>
          <c:y val="4.4057617797775277E-2"/>
          <c:w val="0.63099938028579761"/>
          <c:h val="0.656252136819570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нац. безопасность</c:v>
                </c:pt>
                <c:pt idx="2">
                  <c:v>нац. экономика</c:v>
                </c:pt>
                <c:pt idx="3">
                  <c:v>ЖКХ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соц. политика</c:v>
                </c:pt>
                <c:pt idx="7">
                  <c:v>физ. культура, спорт</c:v>
                </c:pt>
                <c:pt idx="8">
                  <c:v>обслуживание долга</c:v>
                </c:pt>
                <c:pt idx="9">
                  <c:v>межбюджетные трансферты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33657.1</c:v>
                </c:pt>
                <c:pt idx="1">
                  <c:v>0</c:v>
                </c:pt>
                <c:pt idx="2">
                  <c:v>1390.7</c:v>
                </c:pt>
                <c:pt idx="3">
                  <c:v>969.8</c:v>
                </c:pt>
                <c:pt idx="4">
                  <c:v>150885.1</c:v>
                </c:pt>
                <c:pt idx="5">
                  <c:v>23038.5</c:v>
                </c:pt>
                <c:pt idx="6">
                  <c:v>12105.4</c:v>
                </c:pt>
                <c:pt idx="7">
                  <c:v>5250.9</c:v>
                </c:pt>
                <c:pt idx="8">
                  <c:v>470</c:v>
                </c:pt>
                <c:pt idx="9">
                  <c:v>26987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нац. безопасность</c:v>
                </c:pt>
                <c:pt idx="2">
                  <c:v>нац. экономика</c:v>
                </c:pt>
                <c:pt idx="3">
                  <c:v>ЖКХ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соц. политика</c:v>
                </c:pt>
                <c:pt idx="7">
                  <c:v>физ. культура, спорт</c:v>
                </c:pt>
                <c:pt idx="8">
                  <c:v>обслуживание долга</c:v>
                </c:pt>
                <c:pt idx="9">
                  <c:v>межбюджетные трансферты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36668.699999999997</c:v>
                </c:pt>
                <c:pt idx="1">
                  <c:v>100</c:v>
                </c:pt>
                <c:pt idx="2">
                  <c:v>8274.7000000000007</c:v>
                </c:pt>
                <c:pt idx="3">
                  <c:v>200</c:v>
                </c:pt>
                <c:pt idx="4">
                  <c:v>136390.9</c:v>
                </c:pt>
                <c:pt idx="5">
                  <c:v>21216.5</c:v>
                </c:pt>
                <c:pt idx="6">
                  <c:v>11969.4</c:v>
                </c:pt>
                <c:pt idx="7">
                  <c:v>6807</c:v>
                </c:pt>
                <c:pt idx="8">
                  <c:v>300</c:v>
                </c:pt>
                <c:pt idx="9">
                  <c:v>26613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нац. безопасность</c:v>
                </c:pt>
                <c:pt idx="2">
                  <c:v>нац. экономика</c:v>
                </c:pt>
                <c:pt idx="3">
                  <c:v>ЖКХ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соц. политика</c:v>
                </c:pt>
                <c:pt idx="7">
                  <c:v>физ. культура, спорт</c:v>
                </c:pt>
                <c:pt idx="8">
                  <c:v>обслуживание долга</c:v>
                </c:pt>
                <c:pt idx="9">
                  <c:v>межбюджетные трансферты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19026.5</c:v>
                </c:pt>
                <c:pt idx="1">
                  <c:v>50</c:v>
                </c:pt>
                <c:pt idx="2">
                  <c:v>7497.5</c:v>
                </c:pt>
                <c:pt idx="3">
                  <c:v>100</c:v>
                </c:pt>
                <c:pt idx="4">
                  <c:v>115409.7</c:v>
                </c:pt>
                <c:pt idx="5">
                  <c:v>11423</c:v>
                </c:pt>
                <c:pt idx="6">
                  <c:v>10371.6</c:v>
                </c:pt>
                <c:pt idx="7">
                  <c:v>3709.1</c:v>
                </c:pt>
                <c:pt idx="8">
                  <c:v>100</c:v>
                </c:pt>
                <c:pt idx="9">
                  <c:v>4450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нац. безопасность</c:v>
                </c:pt>
                <c:pt idx="2">
                  <c:v>нац. экономика</c:v>
                </c:pt>
                <c:pt idx="3">
                  <c:v>ЖКХ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соц. политика</c:v>
                </c:pt>
                <c:pt idx="7">
                  <c:v>физ. культура, спорт</c:v>
                </c:pt>
                <c:pt idx="8">
                  <c:v>обслуживание долга</c:v>
                </c:pt>
                <c:pt idx="9">
                  <c:v>межбюджетные трансферты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18662.5</c:v>
                </c:pt>
                <c:pt idx="1">
                  <c:v>100</c:v>
                </c:pt>
                <c:pt idx="2">
                  <c:v>8098.3</c:v>
                </c:pt>
                <c:pt idx="3">
                  <c:v>200</c:v>
                </c:pt>
                <c:pt idx="4">
                  <c:v>118826.3</c:v>
                </c:pt>
                <c:pt idx="5">
                  <c:v>12030</c:v>
                </c:pt>
                <c:pt idx="6">
                  <c:v>10826.2</c:v>
                </c:pt>
                <c:pt idx="7">
                  <c:v>3440.1</c:v>
                </c:pt>
                <c:pt idx="8">
                  <c:v>100</c:v>
                </c:pt>
                <c:pt idx="9">
                  <c:v>4552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804032"/>
        <c:axId val="71805568"/>
      </c:barChart>
      <c:catAx>
        <c:axId val="71804032"/>
        <c:scaling>
          <c:orientation val="minMax"/>
        </c:scaling>
        <c:delete val="0"/>
        <c:axPos val="b"/>
        <c:majorTickMark val="out"/>
        <c:minorTickMark val="none"/>
        <c:tickLblPos val="nextTo"/>
        <c:crossAx val="71805568"/>
        <c:crosses val="autoZero"/>
        <c:auto val="1"/>
        <c:lblAlgn val="ctr"/>
        <c:lblOffset val="100"/>
        <c:noMultiLvlLbl val="0"/>
      </c:catAx>
      <c:valAx>
        <c:axId val="71805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804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6191</TotalTime>
  <Pages>12</Pages>
  <Words>2729</Words>
  <Characters>19253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Local</cp:lastModifiedBy>
  <cp:revision>28</cp:revision>
  <cp:lastPrinted>2015-12-28T12:27:00Z</cp:lastPrinted>
  <dcterms:created xsi:type="dcterms:W3CDTF">2008-12-01T09:36:00Z</dcterms:created>
  <dcterms:modified xsi:type="dcterms:W3CDTF">2017-02-08T11:46:00Z</dcterms:modified>
</cp:coreProperties>
</file>