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r w:rsidRPr="00B8155E">
        <w:rPr>
          <w:rFonts w:ascii="Times New Roman" w:hAnsi="Times New Roman"/>
          <w:sz w:val="28"/>
          <w:szCs w:val="28"/>
        </w:rPr>
        <w:t xml:space="preserve">Отчет </w:t>
      </w:r>
    </w:p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 xml:space="preserve">о работе общественной приемной </w:t>
      </w:r>
    </w:p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 xml:space="preserve">губернатора Воронежской области А.В. Гордеева </w:t>
      </w:r>
    </w:p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8155E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  муниципальном районе</w:t>
      </w:r>
    </w:p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>за  август  месяц 2017 года</w:t>
      </w:r>
    </w:p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E7BC8" w:rsidRPr="00B8155E" w:rsidTr="00D8742E">
        <w:trPr>
          <w:tblHeader/>
        </w:trPr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15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155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815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55E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55E">
              <w:rPr>
                <w:rFonts w:ascii="Times New Roman" w:hAnsi="Times New Roman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182*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CE7BC8" w:rsidRPr="00B8155E" w:rsidTr="00D8742E">
        <w:tc>
          <w:tcPr>
            <w:tcW w:w="818" w:type="dxa"/>
            <w:shd w:val="clear" w:color="auto" w:fill="FFFFFF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Отказано в решении на основании,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Находятся на контроле (на рассмотрении) *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55E">
              <w:rPr>
                <w:rFonts w:ascii="Times New Roman" w:hAnsi="Times New Roman"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55E">
              <w:rPr>
                <w:rFonts w:ascii="Times New Roman" w:hAnsi="Times New Roman"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55E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55E">
              <w:rPr>
                <w:rFonts w:ascii="Times New Roman" w:hAnsi="Times New Roman"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хозяйственная деятельность, промышленность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55E">
              <w:rPr>
                <w:rFonts w:ascii="Times New Roman" w:hAnsi="Times New Roman"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55E">
              <w:rPr>
                <w:rFonts w:ascii="Times New Roman" w:hAnsi="Times New Roman"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E7BC8" w:rsidRPr="00B8155E" w:rsidTr="00D8742E"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BC8" w:rsidRPr="00B8155E" w:rsidTr="00D8742E">
        <w:trPr>
          <w:trHeight w:val="297"/>
        </w:trPr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BC8" w:rsidRPr="00B8155E" w:rsidTr="00D8742E">
        <w:trPr>
          <w:trHeight w:val="461"/>
        </w:trPr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BC8" w:rsidRPr="00B8155E" w:rsidTr="00D8742E">
        <w:trPr>
          <w:trHeight w:val="508"/>
        </w:trPr>
        <w:tc>
          <w:tcPr>
            <w:tcW w:w="818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E7BC8" w:rsidRPr="00B8155E" w:rsidTr="00D8742E">
        <w:trPr>
          <w:tblHeader/>
        </w:trPr>
        <w:tc>
          <w:tcPr>
            <w:tcW w:w="817" w:type="dxa"/>
            <w:vMerge w:val="restart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E7BC8" w:rsidRPr="00B8155E" w:rsidTr="00D8742E">
        <w:trPr>
          <w:tblHeader/>
        </w:trPr>
        <w:tc>
          <w:tcPr>
            <w:tcW w:w="817" w:type="dxa"/>
            <w:vMerge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Принято граждан</w:t>
            </w:r>
            <w:r w:rsidRPr="00B8155E">
              <w:t xml:space="preserve"> </w:t>
            </w:r>
            <w:r w:rsidRPr="00B8155E">
              <w:rPr>
                <w:rFonts w:ascii="Times New Roman" w:hAnsi="Times New Roman"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BC8" w:rsidRPr="00B8155E" w:rsidTr="00D8742E">
        <w:trPr>
          <w:trHeight w:val="165"/>
        </w:trPr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5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7BC8" w:rsidRPr="00B8155E" w:rsidTr="00D8742E">
        <w:tc>
          <w:tcPr>
            <w:tcW w:w="817" w:type="dxa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55E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7BC8" w:rsidRPr="00B8155E" w:rsidRDefault="00CE7BC8" w:rsidP="00D8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>13. Кто и когда проводил личный прием в общественной приемной</w:t>
      </w: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 xml:space="preserve">     15 августа 2017 года в общественной приемной губернатора области А.В.Гордеева в </w:t>
      </w:r>
      <w:proofErr w:type="spellStart"/>
      <w:r w:rsidRPr="00B8155E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муниципальном районе провела личный прием граждан руководитель департамента финансов Воронежской области Надежда Георгиевна Сафонова. В приеме приняли участие глава администрации Репьевского муниципального района М.П.Ельчанинов,  заместитель прокурора Репьевского района </w:t>
      </w:r>
      <w:proofErr w:type="spellStart"/>
      <w:r w:rsidRPr="00B8155E">
        <w:rPr>
          <w:rFonts w:ascii="Times New Roman" w:hAnsi="Times New Roman"/>
          <w:sz w:val="28"/>
          <w:szCs w:val="28"/>
        </w:rPr>
        <w:t>Ясеновский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И.В, директор КУ ВО «Управление социальной защиты населения Репьевского района</w:t>
      </w:r>
      <w:proofErr w:type="gramStart"/>
      <w:r w:rsidRPr="00B8155E">
        <w:rPr>
          <w:rFonts w:ascii="Times New Roman" w:hAnsi="Times New Roman"/>
          <w:sz w:val="28"/>
          <w:szCs w:val="28"/>
        </w:rPr>
        <w:t>»Л</w:t>
      </w:r>
      <w:proofErr w:type="gramEnd"/>
      <w:r w:rsidRPr="00B8155E">
        <w:rPr>
          <w:rFonts w:ascii="Times New Roman" w:hAnsi="Times New Roman"/>
          <w:sz w:val="28"/>
          <w:szCs w:val="28"/>
        </w:rPr>
        <w:t xml:space="preserve">ебедева С.В., директор филиала ОАО    «Газпром  газораспределение ВОРОНЕЖ» в Репьевке Волков Е.Н., заместитель начальника  Репьевского РЭС филиал  ПАО  «МРСК ЦЕНТРА» </w:t>
      </w:r>
      <w:proofErr w:type="spellStart"/>
      <w:r w:rsidRPr="00B8155E">
        <w:rPr>
          <w:rFonts w:ascii="Times New Roman" w:hAnsi="Times New Roman"/>
          <w:sz w:val="28"/>
          <w:szCs w:val="28"/>
        </w:rPr>
        <w:t>Белянский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Е.Л, главы </w:t>
      </w:r>
      <w:proofErr w:type="spellStart"/>
      <w:r w:rsidRPr="00B8155E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, Репьевского, </w:t>
      </w:r>
      <w:proofErr w:type="spellStart"/>
      <w:r w:rsidRPr="00B8155E">
        <w:rPr>
          <w:rFonts w:ascii="Times New Roman" w:hAnsi="Times New Roman"/>
          <w:sz w:val="28"/>
          <w:szCs w:val="28"/>
        </w:rPr>
        <w:t>Колбинского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155E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сельских поселений.</w:t>
      </w: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>.</w:t>
      </w: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55E">
        <w:rPr>
          <w:rFonts w:ascii="Times New Roman" w:hAnsi="Times New Roman"/>
          <w:sz w:val="28"/>
          <w:szCs w:val="28"/>
        </w:rPr>
        <w:t>14. В какие поселения был выезд.  Не было</w:t>
      </w:r>
    </w:p>
    <w:p w:rsidR="00CE7BC8" w:rsidRPr="00B8155E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>15. Наиболее актуальные проблемы, поднятые в ходе проведения приема.</w:t>
      </w:r>
    </w:p>
    <w:p w:rsidR="00CE7BC8" w:rsidRPr="00834A64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5E">
        <w:rPr>
          <w:rFonts w:ascii="Times New Roman" w:hAnsi="Times New Roman"/>
          <w:sz w:val="28"/>
          <w:szCs w:val="28"/>
        </w:rPr>
        <w:t xml:space="preserve">      На прием обратилось 6 жителей района, в ходе приема рассмотрено 8 обращений.  Три обращения поступили от жительницы села Репьевка по поводу покраски труб наземного стального газопровода по улице </w:t>
      </w:r>
      <w:proofErr w:type="spellStart"/>
      <w:r w:rsidRPr="00B8155E">
        <w:rPr>
          <w:rFonts w:ascii="Times New Roman" w:hAnsi="Times New Roman"/>
          <w:sz w:val="28"/>
          <w:szCs w:val="28"/>
        </w:rPr>
        <w:t>Потудань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и освещению данной улицы. Руководителем департамента финансов области даны поручения директору филиала ОАО    «Газпром  газораспределение ВОРОНЕЖ» в Репьевке Волков Е.Н о включении  данного вопроса в план  работ на 2018 год, главе Репьевского сельского поселения </w:t>
      </w:r>
      <w:proofErr w:type="spellStart"/>
      <w:r w:rsidRPr="00B8155E">
        <w:rPr>
          <w:rFonts w:ascii="Times New Roman" w:hAnsi="Times New Roman"/>
          <w:sz w:val="28"/>
          <w:szCs w:val="28"/>
        </w:rPr>
        <w:t>Сидельникову</w:t>
      </w:r>
      <w:proofErr w:type="spellEnd"/>
      <w:r w:rsidRPr="00B8155E">
        <w:rPr>
          <w:rFonts w:ascii="Times New Roman" w:hAnsi="Times New Roman"/>
          <w:sz w:val="28"/>
          <w:szCs w:val="28"/>
        </w:rPr>
        <w:t xml:space="preserve"> Г.В.дано поручение пр</w:t>
      </w:r>
      <w:r w:rsidRPr="00834A64">
        <w:rPr>
          <w:rFonts w:ascii="Times New Roman" w:hAnsi="Times New Roman"/>
          <w:sz w:val="28"/>
          <w:szCs w:val="28"/>
        </w:rPr>
        <w:t>оработать вопрос освещения улицы в срок до 1.09.2017. Один вопрос был решен в ходе подготовки к приему.</w:t>
      </w:r>
    </w:p>
    <w:p w:rsidR="00CE7BC8" w:rsidRPr="00834A64" w:rsidRDefault="00CE7BC8" w:rsidP="00CE7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64">
        <w:rPr>
          <w:rFonts w:ascii="Times New Roman" w:hAnsi="Times New Roman"/>
          <w:sz w:val="28"/>
          <w:szCs w:val="28"/>
        </w:rPr>
        <w:t xml:space="preserve">Два обращения поступили от жителей  </w:t>
      </w:r>
      <w:proofErr w:type="spellStart"/>
      <w:r w:rsidRPr="00834A64">
        <w:rPr>
          <w:rFonts w:ascii="Times New Roman" w:hAnsi="Times New Roman"/>
          <w:sz w:val="28"/>
          <w:szCs w:val="28"/>
        </w:rPr>
        <w:t>Колбинского</w:t>
      </w:r>
      <w:proofErr w:type="spellEnd"/>
      <w:r w:rsidRPr="00834A64">
        <w:rPr>
          <w:rFonts w:ascii="Times New Roman" w:hAnsi="Times New Roman"/>
          <w:sz w:val="28"/>
          <w:szCs w:val="28"/>
        </w:rPr>
        <w:t xml:space="preserve"> сельского поселения по поводу  установки автопавильона на 6 км автомобильной дороги «Воронеж-Луганск-Репьевка» и ремонта участка  автомобильной дороги «Воронеж-Луганск-Репьевка</w:t>
      </w:r>
      <w:proofErr w:type="gramStart"/>
      <w:r w:rsidRPr="00834A64">
        <w:rPr>
          <w:rFonts w:ascii="Times New Roman" w:hAnsi="Times New Roman"/>
          <w:sz w:val="28"/>
          <w:szCs w:val="28"/>
        </w:rPr>
        <w:t>»-</w:t>
      </w:r>
      <w:proofErr w:type="gramEnd"/>
      <w:r w:rsidRPr="00834A64">
        <w:rPr>
          <w:rFonts w:ascii="Times New Roman" w:hAnsi="Times New Roman"/>
          <w:sz w:val="28"/>
          <w:szCs w:val="28"/>
        </w:rPr>
        <w:t xml:space="preserve">Сасовка-2. Н.Г. Сафонова проинформировала заявителя, что автопавильон будет установлен до 1 октября текущего года, по второму  обращению дано поручение администрации Репьевского муниципального района проработать вопрос со специалистами и найти возможность установить систему водоотведения на данном участке дороги. Жительница села Россошь обратилась на прием по вопросу установки нового автопавильона в селе Россошь, по данному обращению </w:t>
      </w:r>
      <w:r w:rsidRPr="00834A64">
        <w:rPr>
          <w:rFonts w:ascii="Times New Roman" w:hAnsi="Times New Roman"/>
          <w:sz w:val="28"/>
          <w:szCs w:val="28"/>
        </w:rPr>
        <w:lastRenderedPageBreak/>
        <w:t xml:space="preserve">администрации района рекомендовано направить письмо в департамент транспорта и автомобильных дорог  о включении в план работ на 2018 год установку автопавильона. Жителя села Краснолипье интересовал  вопрос  ремонта дороги по улице  Дубинина, т.к. в распутицу она практически не проездная. Надежда Георгиевна Сафонова обещала помочь в решении данного вопроса и поручила администрации района направить письмо в департамент финансов области о выделении кредита.   </w:t>
      </w:r>
    </w:p>
    <w:p w:rsidR="00CE7BC8" w:rsidRPr="004E4FE7" w:rsidRDefault="00CE7BC8" w:rsidP="00CE7BC8">
      <w:pPr>
        <w:jc w:val="both"/>
        <w:rPr>
          <w:rFonts w:ascii="Times New Roman" w:hAnsi="Times New Roman"/>
          <w:sz w:val="28"/>
          <w:szCs w:val="28"/>
        </w:rPr>
      </w:pPr>
      <w:r w:rsidRPr="00173D8F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E7BC8" w:rsidRPr="002D7770" w:rsidRDefault="00CE7BC8" w:rsidP="00CE7B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7770">
        <w:rPr>
          <w:rFonts w:ascii="Times New Roman" w:hAnsi="Times New Roman"/>
          <w:sz w:val="28"/>
          <w:szCs w:val="28"/>
        </w:rPr>
        <w:t xml:space="preserve"> После приема руководитель департамента </w:t>
      </w:r>
      <w:r>
        <w:rPr>
          <w:rFonts w:ascii="Times New Roman" w:hAnsi="Times New Roman"/>
          <w:sz w:val="28"/>
          <w:szCs w:val="28"/>
        </w:rPr>
        <w:t>финансов Воронежской области встретилась с главами сельских поселений и представителями финансово-бюджетной сферы Репьевского района.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76E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F00CC6">
        <w:rPr>
          <w:rFonts w:ascii="Times New Roman" w:hAnsi="Times New Roman"/>
          <w:sz w:val="28"/>
          <w:szCs w:val="28"/>
        </w:rPr>
        <w:t>В</w:t>
      </w:r>
      <w:proofErr w:type="gramEnd"/>
      <w:r w:rsidRPr="00F00CC6">
        <w:rPr>
          <w:rFonts w:ascii="Times New Roman" w:hAnsi="Times New Roman"/>
          <w:sz w:val="28"/>
          <w:szCs w:val="28"/>
        </w:rPr>
        <w:t xml:space="preserve"> встрече участвовало </w:t>
      </w:r>
      <w:r>
        <w:rPr>
          <w:rFonts w:ascii="Times New Roman" w:hAnsi="Times New Roman"/>
          <w:sz w:val="28"/>
          <w:szCs w:val="28"/>
        </w:rPr>
        <w:t>25 человек</w:t>
      </w:r>
    </w:p>
    <w:p w:rsidR="00CE7BC8" w:rsidRPr="00E0576E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BC8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CE7BC8" w:rsidRPr="00834A64" w:rsidRDefault="00CE7BC8" w:rsidP="00CE7BC8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2D7770">
        <w:rPr>
          <w:rFonts w:ascii="Times New Roman" w:hAnsi="Times New Roman"/>
          <w:b/>
          <w:sz w:val="28"/>
          <w:szCs w:val="28"/>
        </w:rPr>
        <w:t xml:space="preserve"> </w:t>
      </w:r>
      <w:r w:rsidRPr="00834A6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4A64">
        <w:rPr>
          <w:rFonts w:ascii="Times New Roman" w:hAnsi="Times New Roman"/>
          <w:b/>
          <w:sz w:val="28"/>
          <w:szCs w:val="28"/>
        </w:rPr>
        <w:t xml:space="preserve"> -</w:t>
      </w:r>
      <w:r w:rsidRPr="00834A64">
        <w:rPr>
          <w:rFonts w:ascii="Times New Roman" w:hAnsi="Times New Roman"/>
          <w:sz w:val="28"/>
          <w:szCs w:val="28"/>
        </w:rPr>
        <w:t>Финансово-бюджетная политика области  в 2017-2018 г.г</w:t>
      </w:r>
      <w:r w:rsidRPr="00834A64">
        <w:rPr>
          <w:rFonts w:ascii="Times New Roman" w:hAnsi="Times New Roman"/>
          <w:b/>
          <w:sz w:val="28"/>
          <w:szCs w:val="28"/>
        </w:rPr>
        <w:t>.</w:t>
      </w:r>
    </w:p>
    <w:p w:rsidR="00CE7BC8" w:rsidRPr="002D7770" w:rsidRDefault="00CE7BC8" w:rsidP="00CE7BC8">
      <w:pPr>
        <w:spacing w:after="0" w:line="240" w:lineRule="auto"/>
        <w:ind w:left="-142"/>
        <w:rPr>
          <w:rFonts w:ascii="Times New Roman" w:hAnsi="Times New Roman"/>
          <w:bCs/>
          <w:sz w:val="28"/>
          <w:szCs w:val="28"/>
        </w:rPr>
      </w:pPr>
    </w:p>
    <w:p w:rsidR="00CE7BC8" w:rsidRPr="00834A64" w:rsidRDefault="00CE7BC8" w:rsidP="00CE7BC8">
      <w:pPr>
        <w:spacing w:after="0" w:line="240" w:lineRule="auto"/>
        <w:ind w:left="-142"/>
        <w:rPr>
          <w:b/>
        </w:rPr>
      </w:pPr>
      <w:r>
        <w:rPr>
          <w:b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CE7BC8" w:rsidRDefault="00CE7BC8" w:rsidP="00CE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по обращению жительницы села Репьевка по вопросу </w:t>
      </w:r>
      <w:r w:rsidRPr="00BB76F7">
        <w:t xml:space="preserve"> </w:t>
      </w:r>
      <w:r w:rsidRPr="00744CD4">
        <w:rPr>
          <w:rFonts w:ascii="Times New Roman" w:hAnsi="Times New Roman"/>
          <w:sz w:val="28"/>
          <w:szCs w:val="28"/>
        </w:rPr>
        <w:t>проведения работ по изоляции электрических проводов  на электрической опоре по улице</w:t>
      </w:r>
      <w:proofErr w:type="gramEnd"/>
      <w:r w:rsidRPr="00744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CD4">
        <w:rPr>
          <w:rFonts w:ascii="Times New Roman" w:hAnsi="Times New Roman"/>
          <w:sz w:val="28"/>
          <w:szCs w:val="28"/>
        </w:rPr>
        <w:t>Потудань</w:t>
      </w:r>
      <w:proofErr w:type="spellEnd"/>
      <w:r w:rsidRPr="00744CD4">
        <w:rPr>
          <w:rFonts w:ascii="Times New Roman" w:hAnsi="Times New Roman"/>
          <w:sz w:val="28"/>
          <w:szCs w:val="28"/>
        </w:rPr>
        <w:t xml:space="preserve"> возле дома №5,которые представляют опасность для жизни граждан</w:t>
      </w:r>
      <w:r>
        <w:rPr>
          <w:rFonts w:ascii="Times New Roman" w:hAnsi="Times New Roman"/>
          <w:sz w:val="28"/>
          <w:szCs w:val="28"/>
        </w:rPr>
        <w:t xml:space="preserve">. Вопрос  решен в ходе </w:t>
      </w:r>
      <w:proofErr w:type="gramStart"/>
      <w:r>
        <w:rPr>
          <w:rFonts w:ascii="Times New Roman" w:hAnsi="Times New Roman"/>
          <w:sz w:val="28"/>
          <w:szCs w:val="28"/>
        </w:rPr>
        <w:t>приема руководителя департамента финансов области Сафоновой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Н.Г.</w:t>
      </w:r>
    </w:p>
    <w:p w:rsidR="00CE7BC8" w:rsidRPr="00744CD4" w:rsidRDefault="00CE7BC8" w:rsidP="00CE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обращению в общественную приемную инвалида 3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жительницы села </w:t>
      </w:r>
      <w:proofErr w:type="spellStart"/>
      <w:r>
        <w:rPr>
          <w:rFonts w:ascii="Times New Roman" w:hAnsi="Times New Roman"/>
          <w:sz w:val="28"/>
          <w:szCs w:val="28"/>
        </w:rPr>
        <w:t>Бутырки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оказания материальной помощи на приобретение школьной формы и школьных принадлежностей для дочери Натальи. Вопрос решен положительно по каналам благотворительности в рамках </w:t>
      </w:r>
      <w:proofErr w:type="gramStart"/>
      <w:r>
        <w:rPr>
          <w:rFonts w:ascii="Times New Roman" w:hAnsi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 районе акции «Помоги ближнему». Выделены денежные средства на приобретение  школьной и спортивной формы.</w:t>
      </w:r>
    </w:p>
    <w:p w:rsidR="00CE7BC8" w:rsidRPr="004E4FE7" w:rsidRDefault="00CE7BC8" w:rsidP="00CE7B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E7BC8" w:rsidRPr="004E4FE7" w:rsidRDefault="00CE7BC8" w:rsidP="00CE7BC8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CE7BC8" w:rsidRDefault="00CE7BC8" w:rsidP="00CE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июл</w:t>
      </w:r>
      <w:r w:rsidRPr="00EC43C3">
        <w:rPr>
          <w:rFonts w:ascii="Times New Roman" w:hAnsi="Times New Roman"/>
          <w:sz w:val="28"/>
          <w:szCs w:val="28"/>
        </w:rPr>
        <w:t xml:space="preserve">е    месяце в общественную приемную губернатора в </w:t>
      </w:r>
      <w:proofErr w:type="spellStart"/>
      <w:r w:rsidRPr="00EC43C3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EC43C3">
        <w:rPr>
          <w:rFonts w:ascii="Times New Roman" w:hAnsi="Times New Roman"/>
          <w:sz w:val="28"/>
          <w:szCs w:val="28"/>
        </w:rPr>
        <w:t xml:space="preserve"> муниципальном районе обратилось </w:t>
      </w:r>
      <w:r>
        <w:rPr>
          <w:rFonts w:ascii="Times New Roman" w:hAnsi="Times New Roman"/>
          <w:sz w:val="28"/>
          <w:szCs w:val="28"/>
        </w:rPr>
        <w:t>30 жителей. Рассмотрено 32 обращения</w:t>
      </w:r>
      <w:proofErr w:type="gramStart"/>
      <w:r w:rsidRPr="00EC43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4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Основная часть  обращений (59% всех обращений) касались вопросов социальной сферы: оказание материальной помощи  многодетным семьям на приобретение школьной формы и школьных принадлежностей, трудоустройство, предоставление жилья лицам, из числа детей-сирот, единовременных выплат на рождение  третьего ребенка. Часть вопросов, касающихся материальной помощи многодетным семьям удалось решить  по каналам благотворительности в рамках проводимой </w:t>
      </w:r>
      <w:r>
        <w:rPr>
          <w:rFonts w:ascii="Times New Roman" w:hAnsi="Times New Roman"/>
          <w:sz w:val="28"/>
          <w:szCs w:val="28"/>
        </w:rPr>
        <w:lastRenderedPageBreak/>
        <w:t>Общественной палатой Репьевского муниципального района акции  «Помоги ближнему», депутатам областной Думы Князеву А.В.и Поварову В.П.</w:t>
      </w:r>
    </w:p>
    <w:p w:rsidR="00CE7BC8" w:rsidRPr="00EC43C3" w:rsidRDefault="00CE7BC8" w:rsidP="00CE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41%% обращений касалось жилищных вопросов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строительства и ремонта дорог местного значения, установки автопавильонов на региональной дороге «Воронеж-Луганск-Репьевка»-Россошь.  По информации департамента транспорта и автомобильных дорог  один автопавильон на 6км данной автодороги будет установлен до 1 октября текущего года, по  второму павильону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Россошь администрацией района направлено письмо в департамент транспорта и автомобильных дорог о включении в план работ на 2018 год. Что касается дорожного  </w:t>
      </w:r>
      <w:proofErr w:type="gramStart"/>
      <w:r>
        <w:rPr>
          <w:rFonts w:ascii="Times New Roman" w:hAnsi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содержания дорог в  районе  много  внимания уделяется  этим  проблемам  со  стороны  органов  местного  самоуправления, администрации  района. Запланированы  мероприятия по ремонту и строительству дорог в  четырех сельских поселениях, в большинстве случаев асфальтовое покрытие устроят там, где был уложен щебень. Кроме того, район дополнительно получил субсидию в размере 4 млн. 476 тысяч рублей. Эти средства пойдут на укладку щебнем улиц в </w:t>
      </w:r>
      <w:proofErr w:type="spellStart"/>
      <w:r>
        <w:rPr>
          <w:rFonts w:ascii="Times New Roman" w:hAnsi="Times New Roman"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Новосолдатском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Бутырском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сельских поселениях.</w:t>
      </w:r>
    </w:p>
    <w:p w:rsidR="00CE7BC8" w:rsidRPr="004E4FE7" w:rsidRDefault="00CE7BC8" w:rsidP="00CE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CE7BC8" w:rsidRPr="00EC43C3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2EF">
        <w:rPr>
          <w:rFonts w:ascii="Times New Roman" w:hAnsi="Times New Roman"/>
          <w:sz w:val="24"/>
          <w:szCs w:val="24"/>
        </w:rPr>
        <w:t xml:space="preserve">   </w:t>
      </w:r>
      <w:r w:rsidRPr="00EC43C3">
        <w:rPr>
          <w:rFonts w:ascii="Times New Roman" w:hAnsi="Times New Roman"/>
          <w:sz w:val="28"/>
          <w:szCs w:val="28"/>
        </w:rPr>
        <w:t xml:space="preserve">  Конфликтных ситуаций при  рассмотрении  обращений граждан в  течение  месяца  не  было.</w:t>
      </w:r>
    </w:p>
    <w:p w:rsidR="00CE7BC8" w:rsidRPr="002552EF" w:rsidRDefault="00CE7BC8" w:rsidP="00CE7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7BC8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157A2">
        <w:rPr>
          <w:rFonts w:ascii="Times New Roman" w:hAnsi="Times New Roman"/>
          <w:sz w:val="28"/>
          <w:szCs w:val="28"/>
        </w:rPr>
        <w:t>В районно</w:t>
      </w:r>
      <w:r>
        <w:rPr>
          <w:rFonts w:ascii="Times New Roman" w:hAnsi="Times New Roman"/>
          <w:sz w:val="28"/>
          <w:szCs w:val="28"/>
        </w:rPr>
        <w:t>й газете «</w:t>
      </w:r>
      <w:proofErr w:type="spellStart"/>
      <w:r>
        <w:rPr>
          <w:rFonts w:ascii="Times New Roman" w:hAnsi="Times New Roman"/>
          <w:sz w:val="28"/>
          <w:szCs w:val="28"/>
        </w:rPr>
        <w:t>Репьевските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№61 от 22 августа</w:t>
      </w:r>
      <w:r w:rsidRPr="00D157A2">
        <w:rPr>
          <w:rFonts w:ascii="Times New Roman" w:hAnsi="Times New Roman"/>
          <w:sz w:val="28"/>
          <w:szCs w:val="28"/>
        </w:rPr>
        <w:t xml:space="preserve"> 2017 года размещена  статья Валентины Сухановой </w:t>
      </w:r>
      <w:r>
        <w:rPr>
          <w:rFonts w:ascii="Times New Roman" w:hAnsi="Times New Roman"/>
          <w:sz w:val="28"/>
          <w:szCs w:val="28"/>
        </w:rPr>
        <w:t xml:space="preserve">«На дорогу в Краснолипье выделят кредит»- о приеме </w:t>
      </w:r>
      <w:proofErr w:type="gramStart"/>
      <w:r>
        <w:rPr>
          <w:rFonts w:ascii="Times New Roman" w:hAnsi="Times New Roman"/>
          <w:sz w:val="28"/>
          <w:szCs w:val="28"/>
        </w:rPr>
        <w:t>руководителя департамента финансов Воронежской области Сафоновой Надежды Георгиевны</w:t>
      </w:r>
      <w:proofErr w:type="gramEnd"/>
      <w:r>
        <w:rPr>
          <w:rFonts w:ascii="Times New Roman" w:hAnsi="Times New Roman"/>
          <w:sz w:val="28"/>
          <w:szCs w:val="28"/>
        </w:rPr>
        <w:t xml:space="preserve"> и  обращениях, рассмотренных  в ходе приема.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E7BC8" w:rsidRPr="00D157A2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7A2">
        <w:rPr>
          <w:rFonts w:ascii="Times New Roman" w:hAnsi="Times New Roman"/>
          <w:sz w:val="28"/>
          <w:szCs w:val="28"/>
        </w:rPr>
        <w:t xml:space="preserve">          Не было     </w:t>
      </w: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августе   месяце</w:t>
      </w:r>
      <w:r w:rsidRPr="00D157A2">
        <w:rPr>
          <w:rFonts w:ascii="Times New Roman" w:hAnsi="Times New Roman"/>
          <w:sz w:val="28"/>
          <w:szCs w:val="28"/>
        </w:rPr>
        <w:t xml:space="preserve">  общественная  приемная губернатора области А.В. Гордеева в </w:t>
      </w:r>
      <w:proofErr w:type="spellStart"/>
      <w:r w:rsidRPr="00D157A2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D157A2">
        <w:rPr>
          <w:rFonts w:ascii="Times New Roman" w:hAnsi="Times New Roman"/>
          <w:sz w:val="28"/>
          <w:szCs w:val="28"/>
        </w:rPr>
        <w:t xml:space="preserve"> муниципальном районе  активно сотрудничала  с органами  местного  </w:t>
      </w:r>
      <w:r w:rsidRPr="00D157A2">
        <w:rPr>
          <w:rFonts w:ascii="Times New Roman" w:hAnsi="Times New Roman"/>
          <w:sz w:val="28"/>
          <w:szCs w:val="28"/>
        </w:rPr>
        <w:lastRenderedPageBreak/>
        <w:t>самоуправления, общественными  организациями, участвовала  в  социально-значимых мероприятиях, проводимых  в  районе</w:t>
      </w:r>
      <w:proofErr w:type="gramStart"/>
      <w:r w:rsidRPr="00D157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57A2">
        <w:rPr>
          <w:rFonts w:ascii="Times New Roman" w:hAnsi="Times New Roman"/>
          <w:sz w:val="28"/>
          <w:szCs w:val="28"/>
        </w:rPr>
        <w:t xml:space="preserve">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</w:t>
      </w:r>
      <w:r>
        <w:rPr>
          <w:rFonts w:ascii="Times New Roman" w:hAnsi="Times New Roman"/>
          <w:sz w:val="28"/>
          <w:szCs w:val="28"/>
        </w:rPr>
        <w:t xml:space="preserve">шеннолетних и  защите  их  прав, проводимой в районе Общественной палатой Репьевского муниципального района акции «Помоги </w:t>
      </w:r>
      <w:proofErr w:type="gramStart"/>
      <w:r>
        <w:rPr>
          <w:rFonts w:ascii="Times New Roman" w:hAnsi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августа в день празднования 52-ой годовщины Репьевского района  руководитель приемной  в составе жюри принимала участие в конкурсе «Сельское подворье».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августа был организован и проведен  личный прием руководителя департамента финансово области Сафоновой Н.Г..в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глава администрации Репьевского муниципального района Ельчанинов </w:t>
      </w:r>
      <w:proofErr w:type="spellStart"/>
      <w:r>
        <w:rPr>
          <w:rFonts w:ascii="Times New Roman" w:hAnsi="Times New Roman"/>
          <w:sz w:val="28"/>
          <w:szCs w:val="28"/>
        </w:rPr>
        <w:t>М.П.,главы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поселений, руководители предприятий.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августа был организован выездной прием в </w:t>
      </w:r>
      <w:proofErr w:type="spellStart"/>
      <w:r>
        <w:rPr>
          <w:rFonts w:ascii="Times New Roman" w:hAnsi="Times New Roman"/>
          <w:sz w:val="28"/>
          <w:szCs w:val="28"/>
        </w:rPr>
        <w:t>Осадчевское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принято 2 человека, обращения касались оказания материальной помощи и единовременных выплат на рождение третьего ребенка. В приеме принял участие депутат  районного совета народных депутатов Трефилов В.М.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августа руководитель Общественной приемной приняла участие  в работе двенадцатого</w:t>
      </w:r>
      <w:r w:rsidRPr="00F00EBA">
        <w:rPr>
          <w:rFonts w:ascii="Times New Roman" w:hAnsi="Times New Roman"/>
          <w:sz w:val="28"/>
          <w:szCs w:val="28"/>
        </w:rPr>
        <w:t xml:space="preserve"> заседания Совета народных депутатов Репьевского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 7 созыва.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 руководитель общественной приемной приняла участие в выездном приеме депутата Воронежской областной Думы Поварова В.П.</w:t>
      </w:r>
    </w:p>
    <w:p w:rsidR="00CE7BC8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августа в рамках « Недели открытых дверей», приуроченной к 9-летию со дня образования общественной приемной  председателя Партии «Единая Россия» руководитель Общественной приемной приняла участие в  приеме главы  Репьевского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Рахманиной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CE7BC8" w:rsidRPr="00F00EBA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BC8" w:rsidRPr="00F00EBA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CE7BC8" w:rsidRPr="00F00EBA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</w:t>
      </w:r>
      <w:r w:rsidRPr="00F00EBA">
        <w:rPr>
          <w:rFonts w:ascii="Times New Roman" w:hAnsi="Times New Roman"/>
          <w:b/>
          <w:sz w:val="28"/>
          <w:szCs w:val="28"/>
        </w:rPr>
        <w:t xml:space="preserve"> </w:t>
      </w:r>
      <w:r w:rsidRPr="00F00EBA">
        <w:rPr>
          <w:rFonts w:ascii="Times New Roman" w:hAnsi="Times New Roman"/>
          <w:sz w:val="28"/>
          <w:szCs w:val="28"/>
        </w:rPr>
        <w:t>Предложений нет</w:t>
      </w: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CE7BC8" w:rsidRPr="00F00EBA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F00EBA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BC8" w:rsidRPr="004E4FE7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E7BC8" w:rsidRPr="003D601C" w:rsidRDefault="00CE7BC8" w:rsidP="00CE7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CE7BC8" w:rsidRPr="004E4FE7" w:rsidRDefault="00CE7BC8" w:rsidP="00CE7BC8">
      <w:pPr>
        <w:ind w:left="-567" w:hanging="284"/>
        <w:rPr>
          <w:sz w:val="28"/>
          <w:szCs w:val="28"/>
        </w:rPr>
      </w:pPr>
    </w:p>
    <w:bookmarkEnd w:id="0"/>
    <w:bookmarkEnd w:id="1"/>
    <w:bookmarkEnd w:id="2"/>
    <w:bookmarkEnd w:id="3"/>
    <w:p w:rsidR="00CE7BC8" w:rsidRPr="004E4FE7" w:rsidRDefault="00CE7BC8" w:rsidP="00CE7BC8">
      <w:pPr>
        <w:ind w:left="-851"/>
        <w:rPr>
          <w:sz w:val="28"/>
          <w:szCs w:val="28"/>
        </w:rPr>
      </w:pPr>
    </w:p>
    <w:p w:rsidR="00CE7BC8" w:rsidRDefault="00CE7BC8" w:rsidP="00CE7BC8">
      <w:pPr>
        <w:ind w:left="-567" w:hanging="284"/>
      </w:pPr>
    </w:p>
    <w:bookmarkEnd w:id="4"/>
    <w:bookmarkEnd w:id="5"/>
    <w:bookmarkEnd w:id="6"/>
    <w:p w:rsidR="00CE7BC8" w:rsidRDefault="00CE7BC8" w:rsidP="00CE7BC8"/>
    <w:p w:rsidR="00CE7BC8" w:rsidRDefault="00CE7BC8" w:rsidP="00CE7BC8">
      <w:pPr>
        <w:ind w:left="-851"/>
      </w:pPr>
    </w:p>
    <w:p w:rsidR="00CE7BC8" w:rsidRDefault="00CE7BC8" w:rsidP="00CE7BC8"/>
    <w:p w:rsidR="00502D62" w:rsidRDefault="00502D62" w:rsidP="00CE7BC8"/>
    <w:sectPr w:rsidR="00502D62" w:rsidSect="00823CF6">
      <w:pgSz w:w="11906" w:h="16838" w:code="9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E7BC8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840E9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BC8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8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2018-01-10T07:15:00Z</dcterms:created>
  <dcterms:modified xsi:type="dcterms:W3CDTF">2018-01-10T07:17:00Z</dcterms:modified>
</cp:coreProperties>
</file>